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C82"/>
          <w:sz w:val="40"/>
        </w:rPr>
        <w:t>AI-POWERED DATA ANALYTICS &amp; PREDICTIVE CUSTOMER INTELLIGENCE PLATFORM</w:t>
      </w:r>
    </w:p>
    <w:p>
      <w:pPr>
        <w:jc w:val="center"/>
      </w:pPr>
      <w:r>
        <w:rPr>
          <w:rFonts w:ascii="Arial" w:hAnsi="Arial"/>
          <w:color w:val="646464"/>
          <w:sz w:val="25"/>
        </w:rPr>
        <w:t>Comprehensive Capstone Project Report</w:t>
        <w:br/>
        <w:t>AICTE | IBM SkillsBuild Data Analytics with AI Internship 2026</w:t>
        <w:br/>
        <w:t>Masterclasses 1 – 4 Curriculum Synthesis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Candidate Name: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Lalatendu Bal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Internship Plan ID: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PLAN-D44A9C2C463C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Host Organizations: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AICTE &amp; IBM SkillsBuild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Implementation Partner: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BharatCares (CSRBOX)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Curriculum Covered: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Masterclasses 1, 2, 3, 4 (RFM, Churn Modeling, Supermarket &amp; Feedback Analytics)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Academic Year / Cohort: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2026 Certificate Verification Submission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rFonts w:ascii="Arial" w:hAnsi="Arial"/>
          <w:b/>
          <w:color w:val="0F3C82"/>
          <w:sz w:val="28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This capstone project represents the culmination of the AICTE | IBM SkillsBuild Data Analytics with AI Academic Internship, conducted in partnership with BharatCares (CSRBOX). Drawing directly upon the concepts, datasets, workbooks, and masterclass sessions (Orientation, Masterclasses 1 to 4, and Project Mentorship), this project integrates classical exploratory data analytics, customer-level RFM (Recency, Frequency, Monetary) segmentation, supervised machine learning for customer churn prediction, and IBM Granite Generative AI synthesis.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The analysis investigates two complementary enterprise datasets: (1) An e-commerce retail dataset of 2,000 transactions used to demonstrate data cleansing, analytical column enrichment, RFM aggregation, and predictive churn modeling using Logistic Regression; and (2) A customer sentiment feedback dataset used to build an NLP classification pipeline and an IBM Granite Generative AI summarization engine. The resulting models achieve over 99% accuracy, and provide actionable business playbooks that separate correlation from causation.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3C82"/>
          <w:sz w:val="28"/>
        </w:rPr>
        <w:t>2. Masterclass 1: Data-Quality Auditing &amp; AI-Assisted Cleaning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As taught in Masterclass 1 ('AI + Data: Make Data Intelligent'), raw enterprise datasets are frequently contaminated by data-entry anomalies. Our data auditing pipeline identified and systematically resolved five core data-quality defects in the practice dataset:</w:t>
      </w:r>
    </w:p>
    <w:p>
      <w:r>
        <w:rPr>
          <w:b/>
        </w:rPr>
        <w:t xml:space="preserve">• Impossible Dates: </w:t>
      </w:r>
      <w:r>
        <w:t>Encountered impossible dates such as '31-02-2026'. Resolved by algorithmic normalization to '28-02-2026' and uniform datetime casting.</w:t>
      </w:r>
    </w:p>
    <w:p>
      <w:r>
        <w:rPr>
          <w:b/>
        </w:rPr>
        <w:t xml:space="preserve">• Inconsistent Currency Formatting: </w:t>
      </w:r>
      <w:r>
        <w:t>Revenue values contained literal currency symbols (e.g., '₹50000'). Cleaned via regex extraction and cast to numeric floats.</w:t>
      </w:r>
    </w:p>
    <w:p>
      <w:r>
        <w:rPr>
          <w:b/>
        </w:rPr>
        <w:t xml:space="preserve">• Negative Quantities: </w:t>
      </w:r>
      <w:r>
        <w:t>Erroneous negative order quantities were normalized using absolute value transforms.</w:t>
      </w:r>
    </w:p>
    <w:p>
      <w:r>
        <w:rPr>
          <w:b/>
        </w:rPr>
        <w:t xml:space="preserve">• Missing Values: </w:t>
      </w:r>
      <w:r>
        <w:t>Handled missing records across revenue and profit using median imputation to preserve distribution shape.</w:t>
      </w:r>
    </w:p>
    <w:p>
      <w:r>
        <w:rPr>
          <w:b/>
        </w:rPr>
        <w:t xml:space="preserve">• Feature Enrichment: </w:t>
      </w:r>
      <w:r>
        <w:t>Engineered analytical columns including Month, Year, Customer_Segment ('New Customer' vs 'Repeat Customer'), and Order_Value_Category ('Low', 'Medium', 'High').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3C82"/>
          <w:sz w:val="28"/>
        </w:rPr>
        <w:t>3. Masterclasses 2 &amp; 3: Customer-Level Aggregation &amp; RFM Churn Modeling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In Masterclasses 2 and 3, transactions were transformed from transaction-level rows into a customer-level analytical dataset where each row uniquely represents one customer. We constructed the classic RFM features:</w:t>
      </w:r>
    </w:p>
    <w:p>
      <w:r>
        <w:rPr>
          <w:b/>
        </w:rPr>
        <w:t xml:space="preserve">• Recency (R): </w:t>
      </w:r>
      <w:r>
        <w:t>Days elapsed between the customer's last recorded purchase and the dataset anchor date.</w:t>
      </w:r>
    </w:p>
    <w:p>
      <w:r>
        <w:rPr>
          <w:b/>
        </w:rPr>
        <w:t xml:space="preserve">• Frequency (F): </w:t>
      </w:r>
      <w:r>
        <w:t>Total count of successful purchase transactions completed by the customer.</w:t>
      </w:r>
    </w:p>
    <w:p>
      <w:r>
        <w:rPr>
          <w:b/>
        </w:rPr>
        <w:t xml:space="preserve">• Monetary (M): </w:t>
      </w:r>
      <w:r>
        <w:t>Total cumulative net revenue generated by the customer across all orders.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Churn was formally defined as customer inactivity exceeding 75 days. Using an 80/20 stratified train-test split, a Logistic Regression classifier was trained on RFM features to predict customer churn probability. The model generated the following performance profile: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3120"/>
            <w:shd w:fill="1E40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 Score</w:t>
            </w:r>
          </w:p>
        </w:tc>
        <w:tc>
          <w:tcPr>
            <w:tcW w:type="dxa" w:w="3120"/>
            <w:shd w:fill="1E40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Business Meaning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8"/>
              </w:rPr>
              <w:t>Accuracy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8"/>
              </w:rPr>
              <w:t>99.50%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8"/>
              </w:rPr>
              <w:t>Proportion of total customer classifications correctly predicted.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8"/>
              </w:rPr>
              <w:t>99.18%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8"/>
              </w:rPr>
              <w:t>Proportion of flagged churn candidates who genuinely churned (low false alarms).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8"/>
              </w:rPr>
              <w:t>100.00%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8"/>
              </w:rPr>
              <w:t>Proportion of all truly at-risk customers successfully captured (zero missed churners).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color w:val="282828"/>
          <w:sz w:val="20"/>
        </w:rPr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Confusion Matrix Interpretation in Business Language (Masterclass 3 Workbook Requirement):</w:t>
        <w:br/>
        <w:t>• True Positive (TP): Customer correctly predicted to churn; enables targeted win-back intervention.</w:t>
        <w:br/>
        <w:t>• False Positive (FP): Active customer mistakenly flagged as churn; incurs minor marketing outreach cost.</w:t>
        <w:br/>
        <w:t>• False Negative (FN): Truly at-risk customer missed by the model; represents catastrophic lost customer revenue.</w:t>
        <w:br/>
        <w:t>• True Negative (TN): Active, loyal customer correctly identified as retained.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3C82"/>
          <w:sz w:val="28"/>
        </w:rPr>
        <w:t>4. Customer Risk Stratification &amp; Top 20 Highest-Risk Customers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Following the risk stratification rules defined in the Masterclass 3 student workbook, customers are grouped by predicted churn probability: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• Low Risk: Churn Probability below 40%</w:t>
        <w:br/>
        <w:t>• Medium Risk: Churn Probability from 40% to below 70%</w:t>
        <w:br/>
        <w:t>• High Risk: Churn Probability of 70% or higher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07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Customer ID</w:t>
            </w:r>
          </w:p>
        </w:tc>
        <w:tc>
          <w:tcPr>
            <w:tcW w:type="dxa" w:w="1560"/>
            <w:shd w:fill="1E407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Recency (Days)</w:t>
            </w:r>
          </w:p>
        </w:tc>
        <w:tc>
          <w:tcPr>
            <w:tcW w:type="dxa" w:w="1560"/>
            <w:shd w:fill="1E407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1560"/>
            <w:shd w:fill="1E407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Monetary (₹)</w:t>
            </w:r>
          </w:p>
        </w:tc>
        <w:tc>
          <w:tcPr>
            <w:tcW w:type="dxa" w:w="1560"/>
            <w:shd w:fill="1E407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Churn Probability</w:t>
            </w:r>
          </w:p>
        </w:tc>
        <w:tc>
          <w:tcPr>
            <w:tcW w:type="dxa" w:w="1560"/>
            <w:shd w:fill="1E407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Risk Level</w:t>
            </w:r>
          </w:p>
        </w:tc>
      </w:tr>
      <w:tr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C200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151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₹3,668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71.00%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High Risk</w:t>
            </w:r>
          </w:p>
        </w:tc>
      </w:tr>
      <w:tr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C032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147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₹28,620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70.43%</w:t>
            </w:r>
          </w:p>
        </w:tc>
        <w:tc>
          <w:tcPr>
            <w:tcW w:type="dxa" w:w="1560"/>
            <w:shd w:fill="FFEAEA"/>
          </w:tcPr>
          <w:p>
            <w:r>
              <w:rPr>
                <w:rFonts w:ascii="Arial" w:hAnsi="Arial"/>
                <w:sz w:val="17"/>
              </w:rPr>
              <w:t>High Risk</w:t>
            </w:r>
          </w:p>
        </w:tc>
      </w:tr>
      <w:tr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C231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142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₹44,445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69.88%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Medium Risk</w:t>
            </w:r>
          </w:p>
        </w:tc>
      </w:tr>
      <w:tr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C348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173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₹283,560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69.72%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Medium Risk</w:t>
            </w:r>
          </w:p>
        </w:tc>
      </w:tr>
      <w:tr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C100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139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₹51,936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69.57%</w:t>
            </w:r>
          </w:p>
        </w:tc>
        <w:tc>
          <w:tcPr>
            <w:tcW w:type="dxa" w:w="1560"/>
            <w:shd w:fill="FFF8E7"/>
          </w:tcPr>
          <w:p>
            <w:r>
              <w:rPr>
                <w:rFonts w:ascii="Arial" w:hAnsi="Arial"/>
                <w:sz w:val="17"/>
              </w:rPr>
              <w:t>Medium Risk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color w:val="282828"/>
          <w:sz w:val="20"/>
        </w:rPr>
      </w:r>
    </w:p>
    <w:p>
      <w:pPr>
        <w:pStyle w:val="Heading2"/>
        <w:spacing w:before="240" w:after="80"/>
      </w:pPr>
      <w:r>
        <w:rPr>
          <w:rFonts w:ascii="Arial" w:hAnsi="Arial"/>
          <w:b/>
          <w:color w:val="282828"/>
          <w:sz w:val="23"/>
        </w:rPr>
        <w:t>5. Analytical Principle: Association vs. Causation (Masterclass 3 Challenge)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As emphasized in the Masterclass 3 student evaluation, data analysts must never confuse mathematical association with causal proof:</w:t>
        <w:br/>
        <w:t>• INCORRECT CLAIM: 'Low purchase frequency causes customers to churn.' (The model does not prove causality).</w:t>
        <w:br/>
        <w:t>• ACCURATE STATEMENT: 'Low purchase frequency is ASSOCIATED WITH higher predicted churn risk.'</w:t>
        <w:br/>
        <w:t>The statistical model highlights observable behavioral markers. Customer departures may be driven by unrecorded external factors such as pricing changes, product defects, or competitor promotions.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3C82"/>
          <w:sz w:val="28"/>
        </w:rPr>
        <w:t>5. Masterclass 4 &amp; Project Deliverables Summary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In Masterclass 4 ('Business Solutions with IBM BOB') and the Project Discussion session, mentors provided the official project architecture (exemplified by the Supermarket Sales Analysis project) and confirmed the four mandatory submission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Deliverable Name</w:t>
            </w:r>
          </w:p>
        </w:tc>
        <w:tc>
          <w:tcPr>
            <w:tcW w:type="dxa" w:w="3120"/>
            <w:shd w:fill="1E40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Specification</w:t>
            </w:r>
          </w:p>
        </w:tc>
        <w:tc>
          <w:tcPr>
            <w:tcW w:type="dxa" w:w="3120"/>
            <w:shd w:fill="1E40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 &amp; Content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7"/>
              </w:rPr>
              <w:t>Deliverable 1: Code File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7"/>
              </w:rPr>
              <w:t>YourName_ProjectName.ipynb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7"/>
              </w:rPr>
              <w:t>Complete project code in Jupyter Notebook format, fully executed with markdown annotations, charts, and model metrics.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7"/>
              </w:rPr>
              <w:t>Deliverable 2: Requirements File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7"/>
              </w:rPr>
              <w:t>requirements.txt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7"/>
              </w:rPr>
              <w:t>List of all Python dependencies and exact versions required to reproduce the environment.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7"/>
              </w:rPr>
              <w:t>Deliverable 3: Project Report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7"/>
              </w:rPr>
              <w:t>YourName_ProjectReport.docx</w:t>
            </w:r>
          </w:p>
        </w:tc>
        <w:tc>
          <w:tcPr>
            <w:tcW w:type="dxa" w:w="3120"/>
            <w:shd w:fill="F7FAFC"/>
          </w:tcPr>
          <w:p>
            <w:r>
              <w:rPr>
                <w:rFonts w:ascii="Arial" w:hAnsi="Arial"/>
                <w:sz w:val="17"/>
              </w:rPr>
              <w:t>Complete formal documentation in Microsoft Word format covering Problem Statement, Dataset, Steps Used, Live Analysis, Business Decisions, and Conclusion.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7"/>
              </w:rPr>
              <w:t>Deliverable 4: README File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7"/>
              </w:rPr>
              <w:t>README.md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sz w:val="17"/>
              </w:rPr>
              <w:t>Repository overview, architecture diagram, dataset links, setup instructions, and key results in Markdown format.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color w:val="282828"/>
          <w:sz w:val="20"/>
        </w:rPr>
      </w:r>
    </w:p>
    <w:p>
      <w:pPr>
        <w:pStyle w:val="Heading1"/>
        <w:spacing w:before="240" w:after="80"/>
      </w:pPr>
      <w:r>
        <w:rPr>
          <w:rFonts w:ascii="Arial" w:hAnsi="Arial"/>
          <w:b/>
          <w:color w:val="0F3C82"/>
          <w:sz w:val="28"/>
        </w:rPr>
        <w:t>6. Conclusion &amp; Certificate Verification Roadmap</w:t>
      </w:r>
    </w:p>
    <w:p>
      <w:pPr>
        <w:spacing w:after="120" w:line="276" w:lineRule="auto"/>
      </w:pPr>
      <w:r>
        <w:rPr>
          <w:rFonts w:ascii="Arial" w:hAnsi="Arial"/>
          <w:color w:val="282828"/>
          <w:sz w:val="20"/>
        </w:rPr>
        <w:t>By completing both the self-learning digital badge modules (Data Fundamentals on IBM SkillsBuild) and this end-to-end Capstone Project, all requirements for certificate verification under AICTE, IBM SkillsBuild, and BharatCares are fulfilled. The complete project files are validated, packaged, and ready for official Google Form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