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13224C" w:rsidRPr="004A10F7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</w:pPr>
      <w:r w:rsidRPr="004A10F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s-AR"/>
        </w:rPr>
        <w:t xml:space="preserve">Acevedo psicodinámica del trabajo </w:t>
      </w:r>
    </w:p>
    <w:p w:rsidR="0013224C" w:rsidRPr="0013224C" w:rsidRDefault="0013224C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13224C">
        <w:rPr>
          <w:rFonts w:ascii="Times New Roman" w:hAnsi="Times New Roman"/>
          <w:sz w:val="24"/>
          <w:szCs w:val="24"/>
          <w:lang w:val="es-AR"/>
        </w:rPr>
        <w:t xml:space="preserve">Aries, </w:t>
      </w:r>
      <w:proofErr w:type="spellStart"/>
      <w:r w:rsidRPr="0013224C">
        <w:rPr>
          <w:rFonts w:ascii="Times New Roman" w:hAnsi="Times New Roman"/>
          <w:sz w:val="24"/>
          <w:szCs w:val="24"/>
          <w:lang w:val="es-AR"/>
        </w:rPr>
        <w:t>Philippe</w:t>
      </w:r>
      <w:proofErr w:type="spellEnd"/>
      <w:r w:rsidRPr="0013224C">
        <w:rPr>
          <w:rFonts w:ascii="Times New Roman" w:hAnsi="Times New Roman"/>
          <w:sz w:val="24"/>
          <w:szCs w:val="24"/>
          <w:lang w:val="es-AR"/>
        </w:rPr>
        <w:t xml:space="preserve">. (1986). La infancia. En </w:t>
      </w:r>
      <w:r w:rsidRPr="0013224C">
        <w:rPr>
          <w:rFonts w:ascii="Times New Roman" w:hAnsi="Times New Roman"/>
          <w:i/>
          <w:iCs/>
          <w:sz w:val="24"/>
          <w:szCs w:val="24"/>
          <w:lang w:val="es-AR"/>
        </w:rPr>
        <w:t>Revista de Educación</w:t>
      </w:r>
      <w:r w:rsidRPr="0013224C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13224C">
        <w:rPr>
          <w:rFonts w:ascii="Times New Roman" w:hAnsi="Times New Roman"/>
          <w:sz w:val="24"/>
          <w:szCs w:val="24"/>
        </w:rPr>
        <w:t xml:space="preserve">Madrid. </w:t>
      </w:r>
    </w:p>
    <w:p w:rsidR="0013224C" w:rsidRPr="0013224C" w:rsidRDefault="0013224C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13224C">
        <w:rPr>
          <w:rFonts w:ascii="Times New Roman" w:hAnsi="Times New Roman"/>
          <w:sz w:val="24"/>
          <w:szCs w:val="24"/>
          <w:lang w:val="es-AR"/>
        </w:rPr>
        <w:t xml:space="preserve">Aries, </w:t>
      </w:r>
      <w:proofErr w:type="spellStart"/>
      <w:r w:rsidRPr="0013224C">
        <w:rPr>
          <w:rFonts w:ascii="Times New Roman" w:hAnsi="Times New Roman"/>
          <w:sz w:val="24"/>
          <w:szCs w:val="24"/>
          <w:lang w:val="es-AR"/>
        </w:rPr>
        <w:t>Philippe</w:t>
      </w:r>
      <w:proofErr w:type="spellEnd"/>
      <w:r w:rsidRPr="0013224C">
        <w:rPr>
          <w:rFonts w:ascii="Times New Roman" w:hAnsi="Times New Roman"/>
          <w:sz w:val="24"/>
          <w:szCs w:val="24"/>
          <w:lang w:val="es-AR"/>
        </w:rPr>
        <w:t xml:space="preserve">. (1987). El niño y la vida familiar en el Antiguo Régimen. </w:t>
      </w:r>
      <w:r w:rsidRPr="0013224C">
        <w:rPr>
          <w:rFonts w:ascii="Times New Roman" w:hAnsi="Times New Roman"/>
          <w:i/>
          <w:sz w:val="24"/>
          <w:szCs w:val="24"/>
          <w:lang w:val="es-AR"/>
        </w:rPr>
        <w:t>Taurus</w:t>
      </w:r>
      <w:r w:rsidRPr="0013224C">
        <w:rPr>
          <w:rFonts w:ascii="Times New Roman" w:hAnsi="Times New Roman"/>
          <w:sz w:val="24"/>
          <w:szCs w:val="24"/>
          <w:lang w:val="es-AR"/>
        </w:rPr>
        <w:t>. Madrid.</w:t>
      </w:r>
    </w:p>
    <w:p w:rsidR="0013224C" w:rsidRPr="0013224C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3224C">
        <w:rPr>
          <w:rFonts w:ascii="Times New Roman" w:hAnsi="Times New Roman"/>
          <w:sz w:val="24"/>
          <w:szCs w:val="24"/>
          <w:lang w:val="es-AR"/>
        </w:rPr>
        <w:t>Bleichmar</w:t>
      </w:r>
      <w:proofErr w:type="spellEnd"/>
      <w:r w:rsidRPr="0013224C">
        <w:rPr>
          <w:rFonts w:ascii="Times New Roman" w:hAnsi="Times New Roman"/>
          <w:sz w:val="24"/>
          <w:szCs w:val="24"/>
          <w:lang w:val="es-AR"/>
        </w:rPr>
        <w:t>, Silvia. (2001) Qué se conserva hoy de la infancia que conocimos. “</w:t>
      </w:r>
      <w:r w:rsidRPr="0013224C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13224C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13224C" w:rsidRPr="0013224C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3224C">
        <w:rPr>
          <w:rFonts w:ascii="Times New Roman" w:hAnsi="Times New Roman"/>
          <w:sz w:val="24"/>
          <w:szCs w:val="24"/>
          <w:lang w:val="es-AR"/>
        </w:rPr>
        <w:t>Carli</w:t>
      </w:r>
      <w:proofErr w:type="spellEnd"/>
      <w:r w:rsidRPr="0013224C">
        <w:rPr>
          <w:rFonts w:ascii="Times New Roman" w:hAnsi="Times New Roman"/>
          <w:sz w:val="24"/>
          <w:szCs w:val="24"/>
          <w:lang w:val="es-AR"/>
        </w:rPr>
        <w:t xml:space="preserve">, Sandra (2011) “El campo de estudios sobre la infancia en las fronteras de las disciplinas. Notas para su caracterización e hipótesis sobre sus desafíos” en </w:t>
      </w:r>
      <w:proofErr w:type="spellStart"/>
      <w:r w:rsidRPr="0013224C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13224C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13224C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13224C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13224C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13224C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13224C" w:rsidRPr="005828FF" w:rsidRDefault="0013224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Carli</w:t>
      </w:r>
      <w:proofErr w:type="spellEnd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Sandra.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(2010)</w:t>
      </w:r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Notas para pensar la infancia en la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Argentina (1983-2001): Figuras de la historia reciente. En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Educacao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em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Revista Vol. 26. Belo Horizonte</w:t>
      </w:r>
    </w:p>
    <w:p w:rsidR="0013224C" w:rsidRPr="00A83039" w:rsidRDefault="0013224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Castro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Rubel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Jorge “Las Abuelas como protagonistas decisivas”, en </w:t>
      </w:r>
      <w:r w:rsidRPr="00CC5E8E">
        <w:rPr>
          <w:rFonts w:ascii="Times New Roman" w:hAnsi="Times New Roman"/>
          <w:i/>
          <w:sz w:val="24"/>
          <w:szCs w:val="24"/>
          <w:lang w:val="es-AR"/>
        </w:rPr>
        <w:t>Pagina 12</w:t>
      </w:r>
      <w:r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>En, El País, Buenos Aires, 22 de octubre de 2018.</w:t>
      </w:r>
    </w:p>
    <w:p w:rsidR="0013224C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</w:pPr>
      <w:r w:rsidRPr="001E09CC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Ceballos, Fernando El cuidado como atributo ético para oficiar la profesión. (texto inédito)</w:t>
      </w:r>
    </w:p>
    <w:p w:rsidR="0013224C" w:rsidRPr="0066300C" w:rsidRDefault="0013224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Comisión Nacional sobre la Desaparición de Personas. 2015. </w:t>
      </w:r>
      <w:r w:rsidRPr="00A83039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Nunca más: informe de la Comisión Nacional sobre la Desaparición de Personas</w:t>
      </w: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Ciudad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Autónoma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 de Buenos Aires.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Eudeba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. </w:t>
      </w:r>
    </w:p>
    <w:p w:rsidR="0013224C" w:rsidRPr="00066D7A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13224C" w:rsidRPr="008200E0" w:rsidRDefault="0013224C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13224C" w:rsidRPr="00770314" w:rsidRDefault="0013224C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Defensoría del Pueblo de la Provincia de Santa Fe (2017) “Las instituciones de acogimiento de la provincia de Santa Fe: diagnóstico y aportes para la garantía y restitución de derechos de las niñas, niños y adolescentes separados de sus centros de </w:t>
      </w:r>
      <w:proofErr w:type="gramStart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vida.1ª</w:t>
      </w:r>
      <w:proofErr w:type="gram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ed. Rosario</w:t>
      </w:r>
    </w:p>
    <w:p w:rsidR="0013224C" w:rsidRPr="004A10F7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</w:pPr>
      <w:proofErr w:type="spellStart"/>
      <w:r w:rsidRPr="004A10F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s-AR"/>
        </w:rPr>
        <w:t>Dejours</w:t>
      </w:r>
      <w:proofErr w:type="spellEnd"/>
    </w:p>
    <w:p w:rsidR="0013224C" w:rsidRPr="00F8476F" w:rsidRDefault="0013224C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Dinatale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Martin “</w:t>
      </w:r>
      <w:r w:rsidRPr="005828FF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48% de los chicos en la Argentina vive en la pobreza, según un informe de Unicef</w:t>
      </w: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” en </w:t>
      </w:r>
      <w:proofErr w:type="spellStart"/>
      <w:r w:rsidRPr="005828FF">
        <w:rPr>
          <w:rFonts w:ascii="Times New Roman" w:eastAsiaTheme="minorHAnsi" w:hAnsi="Times New Roman"/>
          <w:bCs/>
          <w:i/>
          <w:color w:val="000000"/>
          <w:sz w:val="23"/>
          <w:szCs w:val="23"/>
          <w:lang w:val="es-AR"/>
        </w:rPr>
        <w:t>InfoBae</w:t>
      </w:r>
      <w:proofErr w:type="spell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. Buenos Aires, 4 de diciembre de 2018</w:t>
      </w:r>
    </w:p>
    <w:p w:rsidR="0013224C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13224C" w:rsidRPr="00376E0F" w:rsidRDefault="0013224C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lastRenderedPageBreak/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13224C" w:rsidRPr="004A10F7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</w:pP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Fraser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 xml:space="preserve">, </w:t>
      </w:r>
      <w:proofErr w:type="gram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Nancy,  (</w:t>
      </w:r>
      <w:proofErr w:type="gram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2011),  ¿De la redistribución al reconocimiento? Dilemas en tomo a la justicia en una época “</w:t>
      </w: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postsocialista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 xml:space="preserve">”. </w:t>
      </w: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Biblioteca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Virtual de </w:t>
      </w: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Ciencias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Sociales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13224C" w:rsidRDefault="0013224C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</w:t>
      </w:r>
      <w:r w:rsidRPr="001034A4">
        <w:rPr>
          <w:rFonts w:ascii="Times New Roman" w:hAnsi="Times New Roman"/>
          <w:sz w:val="24"/>
          <w:szCs w:val="24"/>
          <w:highlight w:val="cyan"/>
          <w:lang w:val="es-AR"/>
        </w:rPr>
        <w:t>En un libro del orto</w:t>
      </w:r>
      <w:r>
        <w:rPr>
          <w:rFonts w:ascii="Times New Roman" w:hAnsi="Times New Roman"/>
          <w:sz w:val="24"/>
          <w:szCs w:val="24"/>
          <w:lang w:val="es-AR"/>
        </w:rPr>
        <w:t xml:space="preserve"> </w:t>
      </w:r>
    </w:p>
    <w:p w:rsidR="0013224C" w:rsidRPr="004A10F7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</w:pP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Karzs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 xml:space="preserve">, </w:t>
      </w:r>
      <w:proofErr w:type="spellStart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Saül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 xml:space="preserve">. (2007) Problematizar el trabajo social. Definición, figuras, clínica. Editorial </w:t>
      </w:r>
      <w:proofErr w:type="spellStart"/>
      <w:r w:rsidRPr="004A10F7"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es-AR"/>
        </w:rPr>
        <w:t>Gedisa</w:t>
      </w:r>
      <w:proofErr w:type="spellEnd"/>
      <w:r w:rsidRPr="004A10F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s-AR"/>
        </w:rPr>
        <w:t>. Barcelona</w:t>
      </w:r>
    </w:p>
    <w:p w:rsidR="0013224C" w:rsidRPr="00066D7A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13224C" w:rsidRPr="00CC5E8E" w:rsidRDefault="0013224C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13224C" w:rsidRPr="00B575FF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13224C" w:rsidRPr="004A10F7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</w:pPr>
      <w:proofErr w:type="spellStart"/>
      <w:r w:rsidRPr="004A10F7"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  <w:t>Najmanovich</w:t>
      </w:r>
      <w:proofErr w:type="spellEnd"/>
      <w:r w:rsidRPr="004A10F7"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  <w:t xml:space="preserve">, Denise El cuerpo del conocimiento, el conocimiento del </w:t>
      </w:r>
      <w:proofErr w:type="gramStart"/>
      <w:r w:rsidRPr="004A10F7"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  <w:t xml:space="preserve">cuerpo </w:t>
      </w:r>
      <w:r w:rsidRPr="004A10F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s-AR"/>
        </w:rPr>
        <w:t> “</w:t>
      </w:r>
      <w:proofErr w:type="gramEnd"/>
      <w:r w:rsidRPr="004A10F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s-AR"/>
        </w:rPr>
        <w:t>Cuadernos de Campo”, Nº 7, Buenos Aires, Mayo 2009.</w:t>
      </w:r>
    </w:p>
    <w:p w:rsidR="0013224C" w:rsidRPr="004A10F7" w:rsidRDefault="0013224C" w:rsidP="00AE76D5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Cs/>
          <w:color w:val="000000"/>
          <w:sz w:val="24"/>
          <w:szCs w:val="24"/>
          <w:lang w:val="es-AR"/>
        </w:rPr>
      </w:pPr>
      <w:r w:rsidRPr="004A10F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s-AR"/>
        </w:rPr>
        <w:t xml:space="preserve">Norma valentino quien cuida a les </w:t>
      </w:r>
      <w:proofErr w:type="spellStart"/>
      <w:r w:rsidRPr="004A10F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s-AR"/>
        </w:rPr>
        <w:t>trabajaodres</w:t>
      </w:r>
      <w:proofErr w:type="spellEnd"/>
    </w:p>
    <w:p w:rsidR="0013224C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13224C" w:rsidRPr="00066D7A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13224C" w:rsidRPr="00066D7A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13224C" w:rsidRPr="00066D7A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13224C" w:rsidRPr="001E09CC" w:rsidRDefault="0013224C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Ulloa 1999 </w:t>
      </w:r>
      <w:hyperlink r:id="rId8" w:history="1">
        <w:r w:rsidRPr="00887D7A">
          <w:rPr>
            <w:rStyle w:val="Hipervnculo"/>
            <w:lang w:val="es-AR"/>
          </w:rPr>
          <w:t>https://www.lanacion.com.ar/opinion/donde-nace-la-crueldad-nid209944</w:t>
        </w:r>
      </w:hyperlink>
    </w:p>
    <w:p w:rsidR="0013224C" w:rsidRPr="00066D7A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13224C" w:rsidRDefault="0013224C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B83825" w:rsidRPr="00B83825" w:rsidRDefault="00B83825" w:rsidP="00B8382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lastRenderedPageBreak/>
        <w:t>Cazzaniga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Susana (2006) </w:t>
      </w:r>
      <w:r w:rsidRPr="00B83825">
        <w:rPr>
          <w:rFonts w:ascii="Times New Roman" w:hAnsi="Times New Roman"/>
          <w:sz w:val="24"/>
          <w:szCs w:val="24"/>
          <w:lang w:val="es-AR"/>
        </w:rPr>
        <w:t>Reflexiones sobre la Ideología, la Ética</w:t>
      </w:r>
    </w:p>
    <w:p w:rsidR="00B83825" w:rsidRPr="00B83825" w:rsidRDefault="00B83825" w:rsidP="00B8382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s-AR"/>
        </w:rPr>
      </w:pPr>
      <w:r w:rsidRPr="00B83825">
        <w:rPr>
          <w:rFonts w:ascii="Times New Roman" w:hAnsi="Times New Roman"/>
          <w:sz w:val="24"/>
          <w:szCs w:val="24"/>
          <w:lang w:val="es-AR"/>
        </w:rPr>
        <w:t>y la Política en Trabajo Social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Pr="00B83825">
        <w:rPr>
          <w:rFonts w:ascii="Times New Roman" w:eastAsiaTheme="minorHAnsi" w:hAnsi="Times New Roman"/>
          <w:sz w:val="24"/>
          <w:szCs w:val="24"/>
          <w:lang w:val="es-AR"/>
        </w:rPr>
        <w:t>Sociedade</w:t>
      </w:r>
      <w:proofErr w:type="spellEnd"/>
      <w:r w:rsidRPr="00B83825">
        <w:rPr>
          <w:rFonts w:ascii="Times New Roman" w:eastAsiaTheme="minorHAnsi" w:hAnsi="Times New Roman"/>
          <w:sz w:val="24"/>
          <w:szCs w:val="24"/>
          <w:lang w:val="es-AR"/>
        </w:rPr>
        <w:t xml:space="preserve"> </w:t>
      </w:r>
      <w:proofErr w:type="spellStart"/>
      <w:r w:rsidRPr="00B83825">
        <w:rPr>
          <w:rFonts w:ascii="Times New Roman" w:eastAsiaTheme="minorHAnsi" w:hAnsi="Times New Roman"/>
          <w:sz w:val="24"/>
          <w:szCs w:val="24"/>
          <w:lang w:val="es-AR"/>
        </w:rPr>
        <w:t>em</w:t>
      </w:r>
      <w:proofErr w:type="spellEnd"/>
      <w:r w:rsidRPr="00B83825">
        <w:rPr>
          <w:rFonts w:ascii="Times New Roman" w:eastAsiaTheme="minorHAnsi" w:hAnsi="Times New Roman"/>
          <w:sz w:val="24"/>
          <w:szCs w:val="24"/>
          <w:lang w:val="es-AR"/>
        </w:rPr>
        <w:t xml:space="preserve"> Debate, Pelotas, </w:t>
      </w:r>
      <w:r>
        <w:rPr>
          <w:rFonts w:ascii="Times New Roman" w:eastAsiaTheme="minorHAnsi" w:hAnsi="Times New Roman"/>
          <w:sz w:val="24"/>
          <w:szCs w:val="24"/>
          <w:lang w:val="es-AR"/>
        </w:rPr>
        <w:t>12(2) Pág.209-229.</w:t>
      </w:r>
      <w:bookmarkStart w:id="0" w:name="_GoBack"/>
      <w:bookmarkEnd w:id="0"/>
    </w:p>
    <w:p w:rsidR="00226FEC" w:rsidRDefault="00226FEC" w:rsidP="00226FEC">
      <w:pPr>
        <w:spacing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  <w:t>RESOLUCIONES:</w:t>
      </w:r>
      <w:r w:rsidRPr="00226FE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</w:t>
      </w:r>
    </w:p>
    <w:p w:rsidR="002D09E8" w:rsidRPr="00B07C54" w:rsidRDefault="00226FEC" w:rsidP="002D09E8">
      <w:pPr>
        <w:spacing w:line="360" w:lineRule="auto"/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</w:pPr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>RESOLUCION Nº 001155 - SAN</w:t>
      </w:r>
      <w:r w:rsidR="00B07C54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TA FE, 24 de </w:t>
      </w:r>
      <w:proofErr w:type="gramStart"/>
      <w:r w:rsidR="00B07C54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>Noviembre</w:t>
      </w:r>
      <w:proofErr w:type="gramEnd"/>
      <w:r w:rsidR="00B07C54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 de 2015.</w:t>
      </w: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A83039" w:rsidRPr="00CC5E8E" w:rsidRDefault="00A83039" w:rsidP="00A83039">
      <w:pPr>
        <w:pStyle w:val="Prrafodelista"/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24" w:rsidRDefault="001E3B24" w:rsidP="00D86804">
      <w:pPr>
        <w:spacing w:after="0" w:line="240" w:lineRule="auto"/>
      </w:pPr>
      <w:r>
        <w:separator/>
      </w:r>
    </w:p>
  </w:endnote>
  <w:endnote w:type="continuationSeparator" w:id="0">
    <w:p w:rsidR="001E3B24" w:rsidRDefault="001E3B24" w:rsidP="00D8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922061"/>
      <w:docPartObj>
        <w:docPartGallery w:val="Page Numbers (Bottom of Page)"/>
        <w:docPartUnique/>
      </w:docPartObj>
    </w:sdtPr>
    <w:sdtContent>
      <w:p w:rsidR="00D86804" w:rsidRDefault="00D868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825" w:rsidRPr="00B83825">
          <w:rPr>
            <w:noProof/>
            <w:lang w:val="es-ES"/>
          </w:rPr>
          <w:t>3</w:t>
        </w:r>
        <w:r>
          <w:fldChar w:fldCharType="end"/>
        </w:r>
      </w:p>
    </w:sdtContent>
  </w:sdt>
  <w:p w:rsidR="00D86804" w:rsidRDefault="00D86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24" w:rsidRDefault="001E3B24" w:rsidP="00D86804">
      <w:pPr>
        <w:spacing w:after="0" w:line="240" w:lineRule="auto"/>
      </w:pPr>
      <w:r>
        <w:separator/>
      </w:r>
    </w:p>
  </w:footnote>
  <w:footnote w:type="continuationSeparator" w:id="0">
    <w:p w:rsidR="001E3B24" w:rsidRDefault="001E3B24" w:rsidP="00D8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0010FB"/>
    <w:rsid w:val="000A558C"/>
    <w:rsid w:val="001034A4"/>
    <w:rsid w:val="00125BDB"/>
    <w:rsid w:val="0013224C"/>
    <w:rsid w:val="001E09CC"/>
    <w:rsid w:val="001E3B24"/>
    <w:rsid w:val="002121C3"/>
    <w:rsid w:val="00226FEC"/>
    <w:rsid w:val="002A4652"/>
    <w:rsid w:val="002C558E"/>
    <w:rsid w:val="002D09E8"/>
    <w:rsid w:val="002D576B"/>
    <w:rsid w:val="003328A9"/>
    <w:rsid w:val="00376E0F"/>
    <w:rsid w:val="00427BA8"/>
    <w:rsid w:val="004A10F7"/>
    <w:rsid w:val="004F7197"/>
    <w:rsid w:val="00522495"/>
    <w:rsid w:val="005564E5"/>
    <w:rsid w:val="0056089A"/>
    <w:rsid w:val="00570C50"/>
    <w:rsid w:val="00573018"/>
    <w:rsid w:val="00577C31"/>
    <w:rsid w:val="005828FF"/>
    <w:rsid w:val="005E3F5E"/>
    <w:rsid w:val="006163F6"/>
    <w:rsid w:val="0062526C"/>
    <w:rsid w:val="0066300C"/>
    <w:rsid w:val="006F686E"/>
    <w:rsid w:val="00770314"/>
    <w:rsid w:val="00811191"/>
    <w:rsid w:val="008200E0"/>
    <w:rsid w:val="00887D7A"/>
    <w:rsid w:val="009710AF"/>
    <w:rsid w:val="009F6A1D"/>
    <w:rsid w:val="00A83039"/>
    <w:rsid w:val="00AA5A35"/>
    <w:rsid w:val="00AE76D5"/>
    <w:rsid w:val="00B07C54"/>
    <w:rsid w:val="00B575FF"/>
    <w:rsid w:val="00B83825"/>
    <w:rsid w:val="00C01C53"/>
    <w:rsid w:val="00C84520"/>
    <w:rsid w:val="00CC5E8E"/>
    <w:rsid w:val="00D7731D"/>
    <w:rsid w:val="00D86804"/>
    <w:rsid w:val="00DD0A81"/>
    <w:rsid w:val="00E33164"/>
    <w:rsid w:val="00EE422E"/>
    <w:rsid w:val="00F44F26"/>
    <w:rsid w:val="00F8199F"/>
    <w:rsid w:val="00F8476F"/>
    <w:rsid w:val="00F968B2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D525"/>
  <w15:chartTrackingRefBased/>
  <w15:docId w15:val="{F6A9F16C-FAEA-4C39-AB52-592BB469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8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80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8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opinion/donde-nace-la-crueldad-nid2099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8B0A-E075-4456-B409-86356AA6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2018-12-14T11:43:00Z</dcterms:created>
  <dcterms:modified xsi:type="dcterms:W3CDTF">2019-04-05T18:23:00Z</dcterms:modified>
</cp:coreProperties>
</file>