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485" w:rsidRPr="00D37C35" w:rsidRDefault="007B0485" w:rsidP="007B0485">
      <w:pPr>
        <w:pStyle w:val="Prrafodelista"/>
        <w:numPr>
          <w:ilvl w:val="0"/>
          <w:numId w:val="1"/>
        </w:numPr>
        <w:rPr>
          <w:b/>
          <w:lang w:val="es-AR"/>
        </w:rPr>
      </w:pPr>
      <w:r w:rsidRPr="00D37C35">
        <w:rPr>
          <w:b/>
          <w:lang w:val="es-AR"/>
        </w:rPr>
        <w:t>CAPITULO 1: EL CAMPO DE LA INFANCIA</w:t>
      </w:r>
    </w:p>
    <w:p w:rsidR="007B0485" w:rsidRPr="00EA156C" w:rsidRDefault="007B0485" w:rsidP="007B0485">
      <w:pPr>
        <w:pStyle w:val="Prrafodelista"/>
        <w:numPr>
          <w:ilvl w:val="1"/>
          <w:numId w:val="2"/>
        </w:numPr>
        <w:rPr>
          <w:i/>
          <w:lang w:val="es-AR"/>
        </w:rPr>
      </w:pPr>
      <w:r w:rsidRPr="00D37C35">
        <w:rPr>
          <w:lang w:val="es-AR"/>
        </w:rPr>
        <w:t>CONSEPCION DEL NIÑO Y TRANSOFRMACIONES</w:t>
      </w:r>
      <w:r>
        <w:rPr>
          <w:lang w:val="es-AR"/>
        </w:rPr>
        <w:t xml:space="preserve"> </w:t>
      </w:r>
      <w:r w:rsidRPr="00EA156C">
        <w:rPr>
          <w:i/>
          <w:lang w:val="es-AR"/>
        </w:rPr>
        <w:t>(concepción y cambios de paradigma)</w:t>
      </w:r>
    </w:p>
    <w:p w:rsidR="007B0485" w:rsidRDefault="007B0485" w:rsidP="007B0485">
      <w:pPr>
        <w:pStyle w:val="Prrafodelista"/>
        <w:numPr>
          <w:ilvl w:val="1"/>
          <w:numId w:val="2"/>
        </w:numPr>
        <w:rPr>
          <w:lang w:val="es-AR"/>
        </w:rPr>
      </w:pPr>
      <w:r>
        <w:rPr>
          <w:lang w:val="es-AR"/>
        </w:rPr>
        <w:t xml:space="preserve">INSTITUCIONALIDAD DE LA INFANCIA: </w:t>
      </w:r>
      <w:r>
        <w:rPr>
          <w:i/>
          <w:lang w:val="es-AR"/>
        </w:rPr>
        <w:t>Sistema de protección integral.,</w:t>
      </w:r>
    </w:p>
    <w:p w:rsidR="007B0485" w:rsidRDefault="007B0485" w:rsidP="007B0485">
      <w:pPr>
        <w:pStyle w:val="Prrafodelista"/>
        <w:numPr>
          <w:ilvl w:val="1"/>
          <w:numId w:val="2"/>
        </w:numPr>
        <w:rPr>
          <w:lang w:val="es-AR"/>
        </w:rPr>
      </w:pPr>
      <w:r>
        <w:rPr>
          <w:lang w:val="es-AR"/>
        </w:rPr>
        <w:t xml:space="preserve">DIRECCION PROVINCIAL DE NIÑEZ </w:t>
      </w:r>
    </w:p>
    <w:p w:rsidR="007B0485" w:rsidRDefault="007B0485" w:rsidP="00D157C9">
      <w:pPr>
        <w:pStyle w:val="Prrafodelista"/>
        <w:numPr>
          <w:ilvl w:val="1"/>
          <w:numId w:val="2"/>
        </w:numPr>
        <w:rPr>
          <w:lang w:val="es-AR"/>
        </w:rPr>
      </w:pPr>
      <w:r>
        <w:rPr>
          <w:lang w:val="es-AR"/>
        </w:rPr>
        <w:t>Niños y niñas sin cuidados parentales</w:t>
      </w:r>
    </w:p>
    <w:p w:rsidR="00D157C9" w:rsidRPr="00D157C9" w:rsidRDefault="00D157C9" w:rsidP="00D157C9">
      <w:pPr>
        <w:pStyle w:val="Prrafodelista"/>
        <w:ind w:left="360"/>
        <w:rPr>
          <w:lang w:val="es-AR"/>
        </w:rPr>
      </w:pPr>
    </w:p>
    <w:p w:rsidR="00061B03" w:rsidRPr="005D30BD" w:rsidRDefault="00061B03" w:rsidP="00061B03">
      <w:pPr>
        <w:spacing w:line="360" w:lineRule="auto"/>
        <w:rPr>
          <w:rFonts w:ascii="Times New Roman" w:hAnsi="Times New Roman" w:cs="Times New Roman"/>
          <w:b/>
          <w:sz w:val="24"/>
          <w:szCs w:val="24"/>
          <w:lang w:val="es-AR"/>
        </w:rPr>
      </w:pPr>
      <w:r w:rsidRPr="005D30BD">
        <w:rPr>
          <w:rFonts w:ascii="Times New Roman" w:hAnsi="Times New Roman" w:cs="Times New Roman"/>
          <w:b/>
          <w:sz w:val="24"/>
          <w:szCs w:val="24"/>
          <w:lang w:val="es-AR"/>
        </w:rPr>
        <w:t xml:space="preserve">Concepciones de la infancia en Argentina.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El campo de la infancia en Argentina se ha visto sometido a múltiples transformaciones que van de la mano de los cambios culturales y sociales de la época. No es posible pensar en alguna concepción de infancia sin entender el contexto del cual se habla. Es por eso, que pensar la infancia en Argentina implica develar las formas que el Estado asume en sus instituciones para “moldear” la sociedad en general y las nuevas generaciones en particular. </w:t>
      </w:r>
    </w:p>
    <w:p w:rsidR="00061B03"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Entender la infancia como categoría social</w:t>
      </w:r>
      <w:r w:rsidRPr="005D30BD">
        <w:rPr>
          <w:rStyle w:val="Refdenotaalpie"/>
          <w:rFonts w:ascii="Times New Roman" w:hAnsi="Times New Roman" w:cs="Times New Roman"/>
          <w:sz w:val="24"/>
          <w:szCs w:val="24"/>
          <w:lang w:val="es-AR"/>
        </w:rPr>
        <w:footnoteReference w:id="1"/>
      </w:r>
      <w:r w:rsidRPr="005D30BD">
        <w:rPr>
          <w:rFonts w:ascii="Times New Roman" w:hAnsi="Times New Roman" w:cs="Times New Roman"/>
          <w:sz w:val="24"/>
          <w:szCs w:val="24"/>
          <w:lang w:val="es-AR"/>
        </w:rPr>
        <w:t>, implica pensar que es una categoría construida socialmente,</w:t>
      </w:r>
      <w:r w:rsidRPr="005D30BD">
        <w:rPr>
          <w:rFonts w:ascii="Times New Roman" w:hAnsi="Times New Roman" w:cs="Times New Roman"/>
          <w:i/>
          <w:sz w:val="24"/>
          <w:szCs w:val="24"/>
          <w:lang w:val="es-AR"/>
        </w:rPr>
        <w:t xml:space="preserve"> </w:t>
      </w:r>
      <w:r w:rsidRPr="005D30BD">
        <w:rPr>
          <w:rFonts w:ascii="Times New Roman" w:hAnsi="Times New Roman" w:cs="Times New Roman"/>
          <w:sz w:val="24"/>
          <w:szCs w:val="24"/>
          <w:lang w:val="es-AR"/>
        </w:rPr>
        <w:t>que poseen un carácter socio histórico y  dentro de ella aparecen los niños y niñas como actores sociales activos y competentes, y por otro lado permite comprender los modos por los cuales la niñez es estructurada como un espacio social para los niños y niñas.</w:t>
      </w:r>
    </w:p>
    <w:p w:rsidR="00682171" w:rsidRDefault="00682171" w:rsidP="00682171">
      <w:pPr>
        <w:spacing w:line="360" w:lineRule="auto"/>
        <w:ind w:left="720"/>
        <w:rPr>
          <w:rFonts w:ascii="Times New Roman" w:hAnsi="Times New Roman" w:cs="Times New Roman"/>
          <w:sz w:val="24"/>
          <w:szCs w:val="24"/>
          <w:lang w:val="es-AR"/>
        </w:rPr>
      </w:pPr>
      <w:r>
        <w:rPr>
          <w:rFonts w:ascii="Times New Roman" w:hAnsi="Times New Roman" w:cs="Times New Roman"/>
          <w:sz w:val="24"/>
          <w:szCs w:val="24"/>
          <w:lang w:val="es-AR"/>
        </w:rPr>
        <w:t>“</w:t>
      </w:r>
      <w:r w:rsidRPr="00682171">
        <w:rPr>
          <w:rFonts w:ascii="Times New Roman" w:hAnsi="Times New Roman" w:cs="Times New Roman"/>
          <w:sz w:val="24"/>
          <w:szCs w:val="24"/>
          <w:lang w:val="es-AR"/>
        </w:rPr>
        <w:t xml:space="preserve">Obviamente, la vida de las personas comienza siempre por los primeros años de </w:t>
      </w:r>
      <w:proofErr w:type="gramStart"/>
      <w:r w:rsidRPr="00682171">
        <w:rPr>
          <w:rFonts w:ascii="Times New Roman" w:hAnsi="Times New Roman" w:cs="Times New Roman"/>
          <w:sz w:val="24"/>
          <w:szCs w:val="24"/>
          <w:lang w:val="es-AR"/>
        </w:rPr>
        <w:t>vida</w:t>
      </w:r>
      <w:proofErr w:type="gramEnd"/>
      <w:r w:rsidRPr="00682171">
        <w:rPr>
          <w:rFonts w:ascii="Times New Roman" w:hAnsi="Times New Roman" w:cs="Times New Roman"/>
          <w:sz w:val="24"/>
          <w:szCs w:val="24"/>
          <w:lang w:val="es-AR"/>
        </w:rPr>
        <w:t xml:space="preserve"> pero cada cultura atribuye a esa primera etapa determinados valores en función de los cuales genera estrategias tales como políticas educativas, sociales y públicas. La vinculación entre estas estrategias y el propio concepto de infancia es tan estrecha que, a menudo, resulta difícil diferenciar las primeras del segundo</w:t>
      </w:r>
      <w:r>
        <w:rPr>
          <w:rFonts w:ascii="Times New Roman" w:hAnsi="Times New Roman" w:cs="Times New Roman"/>
          <w:sz w:val="24"/>
          <w:szCs w:val="24"/>
          <w:lang w:val="es-AR"/>
        </w:rPr>
        <w:t>” (Marre, 2014:11)</w:t>
      </w:r>
    </w:p>
    <w:p w:rsidR="00682171" w:rsidRPr="00682171" w:rsidRDefault="00682171" w:rsidP="00682171">
      <w:pPr>
        <w:spacing w:line="360" w:lineRule="auto"/>
        <w:ind w:left="720"/>
        <w:rPr>
          <w:rFonts w:ascii="Times New Roman" w:hAnsi="Times New Roman" w:cs="Times New Roman"/>
          <w:sz w:val="24"/>
          <w:szCs w:val="24"/>
          <w:lang w:val="es-AR"/>
        </w:rPr>
      </w:pPr>
      <w:r w:rsidRPr="00682171">
        <w:rPr>
          <w:lang w:val="es-AR"/>
        </w:rPr>
        <w:t>La imposibilidad de una definición universal de infancia condiciona –o debería condicionar– tanto los paradigmas teóricos desde los que abordarla y los métodos para su estudio como, sobre todo, las políticas –especialmente las internacionales– relacionadas con ella.</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i/>
          <w:sz w:val="24"/>
          <w:szCs w:val="24"/>
          <w:lang w:val="es-AR"/>
        </w:rPr>
        <w:lastRenderedPageBreak/>
        <w:t xml:space="preserve"> </w:t>
      </w:r>
      <w:r w:rsidRPr="005D30BD">
        <w:rPr>
          <w:rFonts w:ascii="Times New Roman" w:hAnsi="Times New Roman" w:cs="Times New Roman"/>
          <w:sz w:val="24"/>
          <w:szCs w:val="24"/>
          <w:lang w:val="es-AR"/>
        </w:rPr>
        <w:t xml:space="preserve">En este sentido, Silvia </w:t>
      </w:r>
      <w:proofErr w:type="spellStart"/>
      <w:r w:rsidRPr="005D30BD">
        <w:rPr>
          <w:rFonts w:ascii="Times New Roman" w:hAnsi="Times New Roman" w:cs="Times New Roman"/>
          <w:sz w:val="24"/>
          <w:szCs w:val="24"/>
          <w:lang w:val="es-AR"/>
        </w:rPr>
        <w:t>Bleichmar</w:t>
      </w:r>
      <w:proofErr w:type="spellEnd"/>
      <w:r w:rsidRPr="005D30BD">
        <w:rPr>
          <w:rFonts w:ascii="Times New Roman" w:hAnsi="Times New Roman" w:cs="Times New Roman"/>
          <w:sz w:val="24"/>
          <w:szCs w:val="24"/>
          <w:lang w:val="es-AR"/>
        </w:rPr>
        <w:t xml:space="preserve"> (2001) plantea que La niñez es un estadio cronológico, mientras que la infancia es una categoría constitutiva. La niñez tiene que ver con la etapa definida por el desarrollo, mientras que la infancia se relaciona con los momentos constitutivos estructurales de la subjetividad infantil. La autora plantea que anteriormente se designaba a las infancias a aquellos que no tenían lenguaje, que no podían hablar. Esta noción se relaciona con el cambio de paradigma, del niño como sujeto, en la medida en que los niños y niñas, aunque hablaran han estado privados de la palabra por muchos años.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 La niñez aparece como categoría social diferenciada cuando se torna objeto de significación social, es decir cuando las ideas respecto a la infancia revolucionan, y generan desplazamientos conceptuales que son luego llevados a las intervenc</w:t>
      </w:r>
      <w:r w:rsidR="00554111">
        <w:rPr>
          <w:rFonts w:ascii="Times New Roman" w:hAnsi="Times New Roman" w:cs="Times New Roman"/>
          <w:sz w:val="24"/>
          <w:szCs w:val="24"/>
          <w:lang w:val="es-AR"/>
        </w:rPr>
        <w:t>iones de la familia, la policía y</w:t>
      </w:r>
      <w:r w:rsidRPr="005D30BD">
        <w:rPr>
          <w:rFonts w:ascii="Times New Roman" w:hAnsi="Times New Roman" w:cs="Times New Roman"/>
          <w:sz w:val="24"/>
          <w:szCs w:val="24"/>
          <w:lang w:val="es-AR"/>
        </w:rPr>
        <w:t xml:space="preserve"> las instituciones.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Las líneas de investigación del campo de la infancia no son univocas, por lo contario se plante</w:t>
      </w:r>
      <w:r w:rsidR="00554111">
        <w:rPr>
          <w:rFonts w:ascii="Times New Roman" w:hAnsi="Times New Roman" w:cs="Times New Roman"/>
          <w:sz w:val="24"/>
          <w:szCs w:val="24"/>
          <w:lang w:val="es-AR"/>
        </w:rPr>
        <w:t xml:space="preserve">an de manera diversa y </w:t>
      </w:r>
      <w:proofErr w:type="spellStart"/>
      <w:r w:rsidR="00554111">
        <w:rPr>
          <w:rFonts w:ascii="Times New Roman" w:hAnsi="Times New Roman" w:cs="Times New Roman"/>
          <w:sz w:val="24"/>
          <w:szCs w:val="24"/>
          <w:lang w:val="es-AR"/>
        </w:rPr>
        <w:t>multívoca</w:t>
      </w:r>
      <w:proofErr w:type="spellEnd"/>
      <w:r w:rsidRPr="005D30BD">
        <w:rPr>
          <w:rFonts w:ascii="Times New Roman" w:hAnsi="Times New Roman" w:cs="Times New Roman"/>
          <w:sz w:val="24"/>
          <w:szCs w:val="24"/>
          <w:lang w:val="es-AR"/>
        </w:rPr>
        <w:t xml:space="preserve">. Valeria </w:t>
      </w:r>
      <w:proofErr w:type="spellStart"/>
      <w:r w:rsidRPr="005D30BD">
        <w:rPr>
          <w:rFonts w:ascii="Times New Roman" w:hAnsi="Times New Roman" w:cs="Times New Roman"/>
          <w:sz w:val="24"/>
          <w:szCs w:val="24"/>
          <w:lang w:val="es-AR"/>
        </w:rPr>
        <w:t>Llobet</w:t>
      </w:r>
      <w:proofErr w:type="spellEnd"/>
      <w:r w:rsidRPr="005D30BD">
        <w:rPr>
          <w:rFonts w:ascii="Times New Roman" w:hAnsi="Times New Roman" w:cs="Times New Roman"/>
          <w:sz w:val="24"/>
          <w:szCs w:val="24"/>
          <w:lang w:val="es-AR"/>
        </w:rPr>
        <w:t xml:space="preserve"> (2011) realiza una distinción interesante de estas en la década de los noventa donde las diferencia en tres grandes posturas: la de inspiración culturalista, la de raigambre </w:t>
      </w:r>
      <w:proofErr w:type="spellStart"/>
      <w:r w:rsidRPr="005D30BD">
        <w:rPr>
          <w:rFonts w:ascii="Times New Roman" w:hAnsi="Times New Roman" w:cs="Times New Roman"/>
          <w:sz w:val="24"/>
          <w:szCs w:val="24"/>
          <w:lang w:val="es-AR"/>
        </w:rPr>
        <w:t>foucaultiana</w:t>
      </w:r>
      <w:proofErr w:type="spellEnd"/>
      <w:r w:rsidRPr="005D30BD">
        <w:rPr>
          <w:rFonts w:ascii="Times New Roman" w:hAnsi="Times New Roman" w:cs="Times New Roman"/>
          <w:sz w:val="24"/>
          <w:szCs w:val="24"/>
          <w:lang w:val="es-AR"/>
        </w:rPr>
        <w:t xml:space="preserve">, y la tercera que analiza y evalúa las políticas sociales.  </w:t>
      </w:r>
      <w:r w:rsidRPr="005D30BD">
        <w:rPr>
          <w:rFonts w:ascii="Times New Roman" w:hAnsi="Times New Roman" w:cs="Times New Roman"/>
          <w:sz w:val="24"/>
          <w:szCs w:val="24"/>
          <w:lang w:val="es-AR"/>
        </w:rPr>
        <w:br/>
        <w:t>La primera, la de inspiración culturalista, tiene que ver con la ruptura de las modalidades de subjetividad, la subjetividad infantil y la construcción social de la infancia, desde 1990 comienzan a ser interpretadas como signos de de-</w:t>
      </w:r>
      <w:proofErr w:type="spellStart"/>
      <w:r w:rsidRPr="005D30BD">
        <w:rPr>
          <w:rFonts w:ascii="Times New Roman" w:hAnsi="Times New Roman" w:cs="Times New Roman"/>
          <w:sz w:val="24"/>
          <w:szCs w:val="24"/>
          <w:lang w:val="es-AR"/>
        </w:rPr>
        <w:t>sujetación</w:t>
      </w:r>
      <w:proofErr w:type="spellEnd"/>
      <w:r w:rsidRPr="005D30BD">
        <w:rPr>
          <w:rFonts w:ascii="Times New Roman" w:hAnsi="Times New Roman" w:cs="Times New Roman"/>
          <w:sz w:val="24"/>
          <w:szCs w:val="24"/>
          <w:lang w:val="es-AR"/>
        </w:rPr>
        <w:t xml:space="preserve"> de las nuevas generaciones. Las posiciones epistemológicas subyacentes varían alrededor de dos grandes tesis, una de índole materialista, que plantea la experiencia infantil de las formas sociales y otra de índole cultural que afirma los cambios de la percepción de los adultos sobre la niñez, cambio determinado por patrones culturales, sistema de creencias y modo de pensar.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La segunda postura de pensamiento, de tradición </w:t>
      </w:r>
      <w:proofErr w:type="spellStart"/>
      <w:r w:rsidRPr="005D30BD">
        <w:rPr>
          <w:rFonts w:ascii="Times New Roman" w:hAnsi="Times New Roman" w:cs="Times New Roman"/>
          <w:sz w:val="24"/>
          <w:szCs w:val="24"/>
          <w:lang w:val="es-AR"/>
        </w:rPr>
        <w:t>foucaultiana</w:t>
      </w:r>
      <w:proofErr w:type="spellEnd"/>
      <w:r w:rsidRPr="005D30BD">
        <w:rPr>
          <w:rFonts w:ascii="Times New Roman" w:hAnsi="Times New Roman" w:cs="Times New Roman"/>
          <w:sz w:val="24"/>
          <w:szCs w:val="24"/>
          <w:lang w:val="es-AR"/>
        </w:rPr>
        <w:t xml:space="preserve">, presenta una preocupación por reconstruir la cuestión social de la infancia, analizando las modalidades represivas y totales que los dispositivos estatales construyen para generar prácticas de control social. Unas de las marcas más importantes de estas producciones se deben al tono crítico y militante que enfatizó en promover debates en torno a los derechos humanos y al cambio de paradigma. </w:t>
      </w:r>
      <w:r w:rsidRPr="005D30BD">
        <w:rPr>
          <w:rFonts w:ascii="Times New Roman" w:hAnsi="Times New Roman" w:cs="Times New Roman"/>
          <w:sz w:val="24"/>
          <w:szCs w:val="24"/>
          <w:lang w:val="es-AR"/>
        </w:rPr>
        <w:br/>
        <w:t xml:space="preserve">Y la tercera, de los estudios sociales, que analiza las políticas sociales desde el punto de </w:t>
      </w:r>
      <w:r w:rsidRPr="005D30BD">
        <w:rPr>
          <w:rFonts w:ascii="Times New Roman" w:hAnsi="Times New Roman" w:cs="Times New Roman"/>
          <w:sz w:val="24"/>
          <w:szCs w:val="24"/>
          <w:lang w:val="es-AR"/>
        </w:rPr>
        <w:lastRenderedPageBreak/>
        <w:t>vista de la inadecuación de los diseños y la distancia de los mismos con la implementación, “conjugado con una suerte de voluntarismo político para pensar la intencionalidad de los que afirman retóricamente que luego no harán.” (LLOBET, 2011:6)</w:t>
      </w:r>
    </w:p>
    <w:p w:rsidR="00061B03"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Se entiende así que las formas de concebir a la infancia distan de ser homogéneas y estáticas, es por esto que resulta necesario aprehender las diversas formas en que se presentan las características históricas y sociales que resultan creadoras de sentidos, y que dudemos de los consensos de época como así también nos interpelemos críticamente como actores responsables en la transformación social. </w:t>
      </w:r>
    </w:p>
    <w:p w:rsidR="00682171" w:rsidRPr="00682171" w:rsidRDefault="00682171" w:rsidP="00682171">
      <w:pPr>
        <w:spacing w:line="360" w:lineRule="auto"/>
        <w:ind w:left="720"/>
        <w:rPr>
          <w:rFonts w:ascii="Times New Roman" w:hAnsi="Times New Roman" w:cs="Times New Roman"/>
          <w:sz w:val="24"/>
          <w:szCs w:val="24"/>
          <w:lang w:val="es-AR"/>
        </w:rPr>
      </w:pPr>
      <w:r>
        <w:rPr>
          <w:lang w:val="es-AR"/>
        </w:rPr>
        <w:t xml:space="preserve"> “</w:t>
      </w:r>
      <w:r w:rsidRPr="00682171">
        <w:rPr>
          <w:lang w:val="es-AR"/>
        </w:rPr>
        <w:t>Otra característica de los estudios sobre infancia es la frecuente superposición –o la difícil diferenciación– entre la infancia en tanto que conjunto de ideas socioculturales y los niños/as en tanto que seres humanos. La construcción de la infancia como objeto de estudio y como destino de intervenciones, planes e intervenciones profesionales y técnicas a menudo acaba eclipsando a los niños y niñas como sujetos de estudio, análisis y destino de esos planes e intervenciones.</w:t>
      </w:r>
      <w:r>
        <w:rPr>
          <w:lang w:val="es-AR"/>
        </w:rPr>
        <w:t>”</w:t>
      </w:r>
    </w:p>
    <w:p w:rsidR="00ED469C" w:rsidRDefault="00ED469C">
      <w:pPr>
        <w:rPr>
          <w:rFonts w:ascii="Times New Roman" w:hAnsi="Times New Roman" w:cs="Times New Roman"/>
          <w:sz w:val="24"/>
          <w:szCs w:val="24"/>
          <w:u w:val="single"/>
          <w:lang w:val="es-AR"/>
        </w:rPr>
      </w:pPr>
      <w:r>
        <w:rPr>
          <w:rFonts w:ascii="Times New Roman" w:hAnsi="Times New Roman" w:cs="Times New Roman"/>
          <w:sz w:val="24"/>
          <w:szCs w:val="24"/>
          <w:u w:val="single"/>
          <w:lang w:val="es-AR"/>
        </w:rPr>
        <w:br w:type="page"/>
      </w:r>
    </w:p>
    <w:p w:rsidR="00061B03" w:rsidRPr="005D30BD" w:rsidRDefault="00061B03" w:rsidP="00061B03">
      <w:pPr>
        <w:spacing w:line="360" w:lineRule="auto"/>
        <w:rPr>
          <w:rFonts w:ascii="Times New Roman" w:hAnsi="Times New Roman" w:cs="Times New Roman"/>
          <w:sz w:val="24"/>
          <w:szCs w:val="24"/>
          <w:u w:val="single"/>
          <w:lang w:val="es-AR"/>
        </w:rPr>
      </w:pPr>
      <w:r w:rsidRPr="005D30BD">
        <w:rPr>
          <w:rFonts w:ascii="Times New Roman" w:hAnsi="Times New Roman" w:cs="Times New Roman"/>
          <w:sz w:val="24"/>
          <w:szCs w:val="24"/>
          <w:u w:val="single"/>
          <w:lang w:val="es-AR"/>
        </w:rPr>
        <w:lastRenderedPageBreak/>
        <w:t>Historicidad:</w:t>
      </w:r>
    </w:p>
    <w:p w:rsidR="00061B03" w:rsidRPr="005D30BD" w:rsidRDefault="00452AF2"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Las transformaciones en torno a la infancia se han dado de manera le</w:t>
      </w:r>
      <w:r w:rsidR="00E61F4B" w:rsidRPr="005D30BD">
        <w:rPr>
          <w:rFonts w:ascii="Times New Roman" w:hAnsi="Times New Roman" w:cs="Times New Roman"/>
          <w:sz w:val="24"/>
          <w:szCs w:val="24"/>
          <w:lang w:val="es-AR"/>
        </w:rPr>
        <w:t>nta e imperceptible, que solo era</w:t>
      </w:r>
      <w:r w:rsidRPr="005D30BD">
        <w:rPr>
          <w:rFonts w:ascii="Times New Roman" w:hAnsi="Times New Roman" w:cs="Times New Roman"/>
          <w:sz w:val="24"/>
          <w:szCs w:val="24"/>
          <w:lang w:val="es-AR"/>
        </w:rPr>
        <w:t xml:space="preserve"> posible observarlas cuando los cambios </w:t>
      </w:r>
      <w:r w:rsidR="00554111">
        <w:rPr>
          <w:rFonts w:ascii="Times New Roman" w:hAnsi="Times New Roman" w:cs="Times New Roman"/>
          <w:sz w:val="24"/>
          <w:szCs w:val="24"/>
          <w:lang w:val="es-AR"/>
        </w:rPr>
        <w:t xml:space="preserve">eran acumulados de manera </w:t>
      </w:r>
      <w:proofErr w:type="gramStart"/>
      <w:r w:rsidR="00554111">
        <w:rPr>
          <w:rFonts w:ascii="Times New Roman" w:hAnsi="Times New Roman" w:cs="Times New Roman"/>
          <w:sz w:val="24"/>
          <w:szCs w:val="24"/>
          <w:lang w:val="es-AR"/>
        </w:rPr>
        <w:t xml:space="preserve">que </w:t>
      </w:r>
      <w:r w:rsidRPr="005D30BD">
        <w:rPr>
          <w:rFonts w:ascii="Times New Roman" w:hAnsi="Times New Roman" w:cs="Times New Roman"/>
          <w:sz w:val="24"/>
          <w:szCs w:val="24"/>
          <w:lang w:val="es-AR"/>
        </w:rPr>
        <w:t xml:space="preserve"> su</w:t>
      </w:r>
      <w:proofErr w:type="gramEnd"/>
      <w:r w:rsidRPr="005D30BD">
        <w:rPr>
          <w:rFonts w:ascii="Times New Roman" w:hAnsi="Times New Roman" w:cs="Times New Roman"/>
          <w:sz w:val="24"/>
          <w:szCs w:val="24"/>
          <w:lang w:val="es-AR"/>
        </w:rPr>
        <w:t xml:space="preserve"> densidad lo </w:t>
      </w:r>
      <w:r w:rsidR="00DE46F2" w:rsidRPr="005D30BD">
        <w:rPr>
          <w:rFonts w:ascii="Times New Roman" w:hAnsi="Times New Roman" w:cs="Times New Roman"/>
          <w:sz w:val="24"/>
          <w:szCs w:val="24"/>
          <w:lang w:val="es-AR"/>
        </w:rPr>
        <w:t>hacía</w:t>
      </w:r>
      <w:r w:rsidRPr="005D30BD">
        <w:rPr>
          <w:rFonts w:ascii="Times New Roman" w:hAnsi="Times New Roman" w:cs="Times New Roman"/>
          <w:sz w:val="24"/>
          <w:szCs w:val="24"/>
          <w:lang w:val="es-AR"/>
        </w:rPr>
        <w:t xml:space="preserve"> evidente. En torno a estos cambios, </w:t>
      </w:r>
      <w:proofErr w:type="spellStart"/>
      <w:r w:rsidRPr="005D30BD">
        <w:rPr>
          <w:rFonts w:ascii="Times New Roman" w:hAnsi="Times New Roman" w:cs="Times New Roman"/>
          <w:sz w:val="24"/>
          <w:szCs w:val="24"/>
          <w:lang w:val="es-AR"/>
        </w:rPr>
        <w:t>Pilippe</w:t>
      </w:r>
      <w:proofErr w:type="spellEnd"/>
      <w:r w:rsidRPr="005D30BD">
        <w:rPr>
          <w:rFonts w:ascii="Times New Roman" w:hAnsi="Times New Roman" w:cs="Times New Roman"/>
          <w:sz w:val="24"/>
          <w:szCs w:val="24"/>
          <w:lang w:val="es-AR"/>
        </w:rPr>
        <w:t xml:space="preserve"> Aries (1986)</w:t>
      </w:r>
      <w:r w:rsidR="00DE46F2" w:rsidRPr="005D30BD">
        <w:rPr>
          <w:rFonts w:ascii="Times New Roman" w:hAnsi="Times New Roman" w:cs="Times New Roman"/>
          <w:sz w:val="24"/>
          <w:szCs w:val="24"/>
          <w:lang w:val="es-AR"/>
        </w:rPr>
        <w:t xml:space="preserve">, </w:t>
      </w:r>
      <w:r w:rsidRPr="005D30BD">
        <w:rPr>
          <w:rFonts w:ascii="Times New Roman" w:hAnsi="Times New Roman" w:cs="Times New Roman"/>
          <w:sz w:val="24"/>
          <w:szCs w:val="24"/>
          <w:lang w:val="es-AR"/>
        </w:rPr>
        <w:t xml:space="preserve">planta </w:t>
      </w:r>
      <w:r w:rsidR="00DE46F2" w:rsidRPr="005D30BD">
        <w:rPr>
          <w:rFonts w:ascii="Times New Roman" w:hAnsi="Times New Roman" w:cs="Times New Roman"/>
          <w:sz w:val="24"/>
          <w:szCs w:val="24"/>
          <w:lang w:val="es-AR"/>
        </w:rPr>
        <w:t>que,</w:t>
      </w:r>
      <w:r w:rsidRPr="005D30BD">
        <w:rPr>
          <w:rFonts w:ascii="Times New Roman" w:hAnsi="Times New Roman" w:cs="Times New Roman"/>
          <w:sz w:val="24"/>
          <w:szCs w:val="24"/>
          <w:lang w:val="es-AR"/>
        </w:rPr>
        <w:t xml:space="preserve"> en la Antigüedad, la llegada de un niño/a</w:t>
      </w:r>
      <w:r w:rsidR="00DE46F2" w:rsidRPr="005D30BD">
        <w:rPr>
          <w:rFonts w:ascii="Times New Roman" w:hAnsi="Times New Roman" w:cs="Times New Roman"/>
          <w:sz w:val="24"/>
          <w:szCs w:val="24"/>
          <w:lang w:val="es-AR"/>
        </w:rPr>
        <w:t xml:space="preserve"> al mundo no era sinónimo de la llegada de un hijo/a, sino que el niño/a se le posaba en el suelo, y “</w:t>
      </w:r>
      <w:r w:rsidR="00263B3E" w:rsidRPr="005D30BD">
        <w:rPr>
          <w:rFonts w:ascii="Times New Roman" w:hAnsi="Times New Roman" w:cs="Times New Roman"/>
          <w:sz w:val="24"/>
          <w:szCs w:val="24"/>
          <w:lang w:val="es-AR"/>
        </w:rPr>
        <w:t>correspondía</w:t>
      </w:r>
      <w:r w:rsidR="00DE46F2" w:rsidRPr="005D30BD">
        <w:rPr>
          <w:rFonts w:ascii="Times New Roman" w:hAnsi="Times New Roman" w:cs="Times New Roman"/>
          <w:sz w:val="24"/>
          <w:szCs w:val="24"/>
          <w:lang w:val="es-AR"/>
        </w:rPr>
        <w:t xml:space="preserve"> al padre reconocerlo, cogiéndolo en brazos; es decir elevarlo (</w:t>
      </w:r>
      <w:r w:rsidR="00DE46F2" w:rsidRPr="005D30BD">
        <w:rPr>
          <w:rFonts w:ascii="Times New Roman" w:hAnsi="Times New Roman" w:cs="Times New Roman"/>
          <w:i/>
          <w:sz w:val="24"/>
          <w:szCs w:val="24"/>
          <w:lang w:val="es-AR"/>
        </w:rPr>
        <w:t>elevare)</w:t>
      </w:r>
      <w:r w:rsidR="00DE46F2" w:rsidRPr="005D30BD">
        <w:rPr>
          <w:rFonts w:ascii="Times New Roman" w:hAnsi="Times New Roman" w:cs="Times New Roman"/>
          <w:sz w:val="24"/>
          <w:szCs w:val="24"/>
          <w:lang w:val="es-AR"/>
        </w:rPr>
        <w:t xml:space="preserve"> del suelo</w:t>
      </w:r>
      <w:r w:rsidR="00263B3E" w:rsidRPr="005D30BD">
        <w:rPr>
          <w:rFonts w:ascii="Times New Roman" w:hAnsi="Times New Roman" w:cs="Times New Roman"/>
          <w:sz w:val="24"/>
          <w:szCs w:val="24"/>
          <w:lang w:val="es-AR"/>
        </w:rPr>
        <w:t xml:space="preserve">: elevación física, que, en sentido figurado, se ha convertido en criarlo” (Aries,1986:5) Si el padre no “elevaba” al niño/a, éste era abandonado, Aries plantea que </w:t>
      </w:r>
      <w:r w:rsidR="00E21592" w:rsidRPr="005D30BD">
        <w:rPr>
          <w:rFonts w:ascii="Times New Roman" w:hAnsi="Times New Roman" w:cs="Times New Roman"/>
          <w:sz w:val="24"/>
          <w:szCs w:val="24"/>
          <w:lang w:val="es-AR"/>
        </w:rPr>
        <w:t xml:space="preserve">“La vida le era dada dos veces: la primera cuando salía del vientre de la madre, y la segunda cuando el padre lo elevaba” </w:t>
      </w:r>
    </w:p>
    <w:p w:rsidR="00263B3E" w:rsidRPr="005D30BD" w:rsidRDefault="005A14C4"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De esta manera se puede entender que los lazos sanguíneos no eran condicionantes para ejercer la maternidad y paternidad, sino que ésta, se realizaba a través de la adopción (elevar al niño/a)</w:t>
      </w:r>
      <w:r w:rsidR="00FF4CAD" w:rsidRPr="005D30BD">
        <w:rPr>
          <w:rFonts w:ascii="Times New Roman" w:hAnsi="Times New Roman" w:cs="Times New Roman"/>
          <w:sz w:val="24"/>
          <w:szCs w:val="24"/>
          <w:lang w:val="es-AR"/>
        </w:rPr>
        <w:t xml:space="preserve">. El abandono de niños/as </w:t>
      </w:r>
      <w:r w:rsidR="00F74132" w:rsidRPr="005D30BD">
        <w:rPr>
          <w:rFonts w:ascii="Times New Roman" w:hAnsi="Times New Roman" w:cs="Times New Roman"/>
          <w:sz w:val="24"/>
          <w:szCs w:val="24"/>
          <w:lang w:val="es-AR"/>
        </w:rPr>
        <w:t xml:space="preserve">a su propia suerte resultaba más común de lo que se creía, he aquí por lo que se habla de “Niños adultos” del Medioevo, quienes entraban más rápidamente al mundo adulto para su supervivencia. </w:t>
      </w:r>
    </w:p>
    <w:p w:rsidR="005D30BD" w:rsidRDefault="005D30BD" w:rsidP="00061B0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El abandono e infanticidio son problemáticas que causan preocupación en el Edad Media, en esta época la Iglesia toma un papel importante en torno a la sanción de estas prácticas y establece el matrimonio como el marco que da alojamiento a los niños y niñas. Se empieza a pensar la sexualidad ligada a la procreación, y a</w:t>
      </w:r>
      <w:r w:rsidR="008B15E3">
        <w:rPr>
          <w:rFonts w:ascii="Times New Roman" w:hAnsi="Times New Roman" w:cs="Times New Roman"/>
          <w:sz w:val="24"/>
          <w:szCs w:val="24"/>
          <w:lang w:val="es-AR"/>
        </w:rPr>
        <w:t xml:space="preserve">l cuidado de los niños y niñas como portadores de futuro.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Desde la conformación del Estado Nacional en 1880 la preocupación por la situación de la infancia se circunscriben dos formas de nombrar a los niños y niñas. Por un lado, aquellos “Niños” que eran hijos legítimos y que accedían a la educación pública, y por otro lado los “menores” quienes se encontraban en situación de desamparo, carencia y en condición de pupilo protegido por el Estado.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En Argentina en 1919 se sanciona la ley 10.903, conocida como “Ley Agote” ya que su impulsor fue el doctor Luis Agote. Esta plantea el paradigma del tutelaje de la infancia o lo que se conoce también como la doctrina de la situación irregular. La misma planteaba la regulación tutelar de los menores, sobre aquellos que estaban “en riesgo” los cuales serían </w:t>
      </w:r>
      <w:r w:rsidRPr="005D30BD">
        <w:rPr>
          <w:rFonts w:ascii="Times New Roman" w:hAnsi="Times New Roman" w:cs="Times New Roman"/>
          <w:sz w:val="24"/>
          <w:szCs w:val="24"/>
          <w:lang w:val="es-AR"/>
        </w:rPr>
        <w:lastRenderedPageBreak/>
        <w:t xml:space="preserve">objetos de protección y corrección.  El poder judicial era quien tenía la facultad de “la tutela estatal” quien determinaba los destinos de aquellos niños y niñas que se encontraban en “situación de abandono, peligro moral y/o material”. A partir de esta disposición los jueces podían ordenar la internación de los niños y niñas, su derivación a distintos programas o resolver la adjudicación de la guarda a sus padres u otros familiares, junto con seguimientos que se basaban en la realización de entrevistas periódicas. (Villalta, 2010:83).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Las caracterizaciones establecidas en torno a la peligrosidad y el abandono estuvieron influidas por las ideas de la época sobre la “civilización y barbarie.” El control social de la época marca las subjetividades de los niños y niñas y sus familias, donde se establece una cultura definida por la selectividad y el sesgo de clase, judicializando y criminalizando la pobreza. </w:t>
      </w:r>
    </w:p>
    <w:p w:rsidR="00ED469C"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Los actores intervinientes en esta etapa están conformado por la Sociedad de Beneficencia</w:t>
      </w:r>
      <w:r w:rsidRPr="005D30BD">
        <w:rPr>
          <w:rStyle w:val="Refdenotaalpie"/>
          <w:rFonts w:ascii="Times New Roman" w:hAnsi="Times New Roman" w:cs="Times New Roman"/>
          <w:sz w:val="24"/>
          <w:szCs w:val="24"/>
          <w:lang w:val="es-AR"/>
        </w:rPr>
        <w:footnoteReference w:id="2"/>
      </w:r>
      <w:r w:rsidRPr="005D30BD">
        <w:rPr>
          <w:rFonts w:ascii="Times New Roman" w:hAnsi="Times New Roman" w:cs="Times New Roman"/>
          <w:sz w:val="24"/>
          <w:szCs w:val="24"/>
          <w:lang w:val="es-AR"/>
        </w:rPr>
        <w:t xml:space="preserve"> en un primer momento, con una visión moralizante de la pobreza ya que era común sostener que los pobres se encontraban en esta condición por propia decisión, es por esto que el objetivo de esta institución no era principalmente brindar “asistencia”, sino tener control sobre las personas mediante la vigilancia continua de los mismos. </w:t>
      </w:r>
      <w:r w:rsidR="00ED469C" w:rsidRPr="005D30BD">
        <w:rPr>
          <w:rFonts w:ascii="Times New Roman" w:hAnsi="Times New Roman" w:cs="Times New Roman"/>
          <w:sz w:val="24"/>
          <w:szCs w:val="24"/>
          <w:lang w:val="es-AR"/>
        </w:rPr>
        <w:t>Las representantes eran las damas de la elite porteña que ejercían la filantropía</w:t>
      </w:r>
    </w:p>
    <w:p w:rsidR="00ED469C" w:rsidRPr="00ED469C" w:rsidRDefault="00ED469C" w:rsidP="00ED469C">
      <w:pPr>
        <w:spacing w:line="360" w:lineRule="auto"/>
        <w:ind w:left="720"/>
        <w:rPr>
          <w:rFonts w:ascii="Times New Roman" w:hAnsi="Times New Roman" w:cs="Times New Roman"/>
          <w:sz w:val="24"/>
          <w:szCs w:val="24"/>
          <w:lang w:val="es-AR"/>
        </w:rPr>
      </w:pPr>
      <w:r w:rsidRPr="00ED469C">
        <w:rPr>
          <w:rFonts w:ascii="Times New Roman" w:hAnsi="Times New Roman" w:cs="Times New Roman"/>
          <w:sz w:val="24"/>
          <w:szCs w:val="24"/>
          <w:lang w:val="es-AR"/>
        </w:rPr>
        <w:t>“El accionar de la ‘Sociedad de Damas de la Beneficencia’ estaba basado en la tutela entendida como una relación entre ricos y pobres donde los sectores acaudalados ‘tutelan’ a los pobres mediante consejos de orden moral, de manera tal que estos incorporen los valores morales necesarios para lograr ser un hombre o mujer ‘de bien’ y ‘trabajador’, para –de esta manera– salir de la situación de pobreza</w:t>
      </w:r>
      <w:r>
        <w:rPr>
          <w:rFonts w:ascii="Times New Roman" w:hAnsi="Times New Roman" w:cs="Times New Roman"/>
          <w:sz w:val="24"/>
          <w:szCs w:val="24"/>
          <w:lang w:val="es-AR"/>
        </w:rPr>
        <w:t>” (Firpo –Salazar, 2011:22)</w:t>
      </w:r>
    </w:p>
    <w:p w:rsidR="00954FC3" w:rsidRDefault="00061B03" w:rsidP="008D3E68">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Por otro lado, se encontraba la medicina que comienza a estudiar la miseria de las familias al calor de los procesos migratorios y del crecimiento urbano (Ripoll, 2013:34) que sientan las bases para el movimiento higienista. Éste </w:t>
      </w:r>
      <w:r w:rsidR="008D3E68">
        <w:rPr>
          <w:rFonts w:ascii="Times New Roman" w:hAnsi="Times New Roman" w:cs="Times New Roman"/>
          <w:sz w:val="24"/>
          <w:szCs w:val="24"/>
          <w:lang w:val="es-AR"/>
        </w:rPr>
        <w:t xml:space="preserve">último </w:t>
      </w:r>
      <w:r w:rsidRPr="005D30BD">
        <w:rPr>
          <w:rFonts w:ascii="Times New Roman" w:hAnsi="Times New Roman" w:cs="Times New Roman"/>
          <w:sz w:val="24"/>
          <w:szCs w:val="24"/>
          <w:lang w:val="es-AR"/>
        </w:rPr>
        <w:t xml:space="preserve">se caracterizó por las campañas de prevención e higiene públicas y por las demandas ejercidas hacia el Estado para la </w:t>
      </w:r>
      <w:r w:rsidRPr="005D30BD">
        <w:rPr>
          <w:rFonts w:ascii="Times New Roman" w:hAnsi="Times New Roman" w:cs="Times New Roman"/>
          <w:sz w:val="24"/>
          <w:szCs w:val="24"/>
          <w:lang w:val="es-AR"/>
        </w:rPr>
        <w:lastRenderedPageBreak/>
        <w:t xml:space="preserve">construcción de infraestructura, ya que sostenían que los factores ambientales contribuían a </w:t>
      </w:r>
      <w:r w:rsidRPr="008D3E68">
        <w:rPr>
          <w:rFonts w:ascii="Times New Roman" w:hAnsi="Times New Roman" w:cs="Times New Roman"/>
          <w:sz w:val="24"/>
          <w:szCs w:val="24"/>
          <w:lang w:val="es-AR"/>
        </w:rPr>
        <w:t xml:space="preserve">la reproducción de la desigualdad social y al empeoramiento de las condiciones de vida. </w:t>
      </w:r>
      <w:r w:rsidR="008D3E68" w:rsidRPr="008D3E68">
        <w:rPr>
          <w:rFonts w:ascii="Times New Roman" w:hAnsi="Times New Roman" w:cs="Times New Roman"/>
          <w:sz w:val="24"/>
          <w:szCs w:val="24"/>
          <w:lang w:val="es-AR"/>
        </w:rPr>
        <w:t xml:space="preserve">El acento estaba puesto en los conventillos, donde sostenían que el hacinamiento producía y </w:t>
      </w:r>
      <w:r w:rsidR="00554111">
        <w:rPr>
          <w:rFonts w:ascii="Times New Roman" w:hAnsi="Times New Roman" w:cs="Times New Roman"/>
          <w:sz w:val="24"/>
          <w:szCs w:val="24"/>
          <w:lang w:val="es-AR"/>
        </w:rPr>
        <w:t xml:space="preserve">reproducía epidemias </w:t>
      </w:r>
      <w:r w:rsidR="008D3E68" w:rsidRPr="008D3E68">
        <w:rPr>
          <w:rFonts w:ascii="Times New Roman" w:hAnsi="Times New Roman" w:cs="Times New Roman"/>
          <w:sz w:val="24"/>
          <w:szCs w:val="24"/>
          <w:lang w:val="es-AR"/>
        </w:rPr>
        <w:t>“Se trataba de amenazas físicas, morales y sociales: enfermedades, ‘vicios’ y protestas masivas y tumultuosas. Estaban en juego, por consiguiente, la salud, los valores y los intereses político-econó</w:t>
      </w:r>
      <w:r w:rsidR="008D3E68" w:rsidRPr="00954FC3">
        <w:rPr>
          <w:rFonts w:ascii="Times New Roman" w:hAnsi="Times New Roman" w:cs="Times New Roman"/>
          <w:sz w:val="24"/>
          <w:szCs w:val="24"/>
          <w:lang w:val="es-AR"/>
        </w:rPr>
        <w:t>micos de los grupos dirigentes</w:t>
      </w:r>
      <w:r w:rsidR="008D3E68" w:rsidRPr="008D3E68">
        <w:rPr>
          <w:rFonts w:ascii="Times New Roman" w:hAnsi="Times New Roman" w:cs="Times New Roman"/>
          <w:sz w:val="24"/>
          <w:szCs w:val="24"/>
          <w:lang w:val="es-AR"/>
        </w:rPr>
        <w:t>” (</w:t>
      </w:r>
      <w:r w:rsidR="008D3E68" w:rsidRPr="00954FC3">
        <w:rPr>
          <w:rFonts w:ascii="Times New Roman" w:hAnsi="Times New Roman" w:cs="Times New Roman"/>
          <w:sz w:val="24"/>
          <w:szCs w:val="24"/>
          <w:lang w:val="es-AR"/>
        </w:rPr>
        <w:t>Parra, 1999:118</w:t>
      </w:r>
      <w:r w:rsidR="008D3E68" w:rsidRPr="008D3E68">
        <w:rPr>
          <w:rFonts w:ascii="Times New Roman" w:hAnsi="Times New Roman" w:cs="Times New Roman"/>
          <w:sz w:val="24"/>
          <w:szCs w:val="24"/>
          <w:lang w:val="es-AR"/>
        </w:rPr>
        <w:t>).</w:t>
      </w:r>
    </w:p>
    <w:p w:rsidR="00954FC3" w:rsidRDefault="00954FC3" w:rsidP="008D3E68">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Este contexto social da lugar a la intervención del Patronato de Menores anteriormente mencionado, estableciendo una diferenciación importante, entre el niño – alumno</w:t>
      </w:r>
      <w:r>
        <w:rPr>
          <w:rStyle w:val="Refdenotaalpie"/>
          <w:rFonts w:ascii="Times New Roman" w:hAnsi="Times New Roman" w:cs="Times New Roman"/>
          <w:sz w:val="24"/>
          <w:szCs w:val="24"/>
          <w:lang w:val="es-AR"/>
        </w:rPr>
        <w:footnoteReference w:id="3"/>
      </w:r>
      <w:r>
        <w:rPr>
          <w:rFonts w:ascii="Times New Roman" w:hAnsi="Times New Roman" w:cs="Times New Roman"/>
          <w:sz w:val="24"/>
          <w:szCs w:val="24"/>
          <w:lang w:val="es-AR"/>
        </w:rPr>
        <w:t xml:space="preserve">, y el menor. Menor, que sería objeto de protección y corrección, por la peligrosidad que en sí mismo emanaba. </w:t>
      </w:r>
    </w:p>
    <w:p w:rsidR="00B354B9" w:rsidRPr="00B354B9" w:rsidRDefault="00B354B9" w:rsidP="00B354B9">
      <w:pPr>
        <w:spacing w:line="360" w:lineRule="auto"/>
        <w:ind w:left="720"/>
        <w:rPr>
          <w:rFonts w:ascii="Times New Roman" w:hAnsi="Times New Roman" w:cs="Times New Roman"/>
          <w:sz w:val="24"/>
          <w:szCs w:val="24"/>
          <w:lang w:val="es-AR"/>
        </w:rPr>
      </w:pPr>
      <w:r>
        <w:rPr>
          <w:rFonts w:ascii="Times New Roman" w:hAnsi="Times New Roman" w:cs="Times New Roman"/>
          <w:sz w:val="24"/>
          <w:szCs w:val="24"/>
          <w:lang w:val="es-AR"/>
        </w:rPr>
        <w:t>“C</w:t>
      </w:r>
      <w:r w:rsidRPr="00B354B9">
        <w:rPr>
          <w:rFonts w:ascii="Times New Roman" w:hAnsi="Times New Roman" w:cs="Times New Roman"/>
          <w:sz w:val="24"/>
          <w:szCs w:val="24"/>
          <w:lang w:val="es-AR"/>
        </w:rPr>
        <w:t xml:space="preserve">on el transcurso de los años quedó evidenciado que el trasfondo implícito de esta ley, era la idea de defensa social, de profunda raigambre positivista y </w:t>
      </w:r>
      <w:proofErr w:type="spellStart"/>
      <w:r w:rsidRPr="00B354B9">
        <w:rPr>
          <w:rFonts w:ascii="Times New Roman" w:hAnsi="Times New Roman" w:cs="Times New Roman"/>
          <w:sz w:val="24"/>
          <w:szCs w:val="24"/>
          <w:lang w:val="es-AR"/>
        </w:rPr>
        <w:t>peligrosista</w:t>
      </w:r>
      <w:proofErr w:type="spellEnd"/>
      <w:r w:rsidRPr="00B354B9">
        <w:rPr>
          <w:rFonts w:ascii="Times New Roman" w:hAnsi="Times New Roman" w:cs="Times New Roman"/>
          <w:sz w:val="24"/>
          <w:szCs w:val="24"/>
          <w:lang w:val="es-AR"/>
        </w:rPr>
        <w:t xml:space="preserve">. La idea del utilitarismo penal de preservar a una mayoría no desviada de los “ataques” de una minoría que sí lo era –no importaba que en potencia o en acto– dio lugar a la confección de un cuerpo normativo profundamente anti-garantista en lo jurídico y violatorio de los derechos humanos, defecto este aumentado para con la franja etaria </w:t>
      </w:r>
      <w:proofErr w:type="spellStart"/>
      <w:r w:rsidRPr="00B354B9">
        <w:rPr>
          <w:rFonts w:ascii="Times New Roman" w:hAnsi="Times New Roman" w:cs="Times New Roman"/>
          <w:sz w:val="24"/>
          <w:szCs w:val="24"/>
          <w:lang w:val="es-AR"/>
        </w:rPr>
        <w:t>minoril</w:t>
      </w:r>
      <w:proofErr w:type="spellEnd"/>
      <w:r w:rsidRPr="00B354B9">
        <w:rPr>
          <w:rFonts w:ascii="Times New Roman" w:hAnsi="Times New Roman" w:cs="Times New Roman"/>
          <w:sz w:val="24"/>
          <w:szCs w:val="24"/>
          <w:lang w:val="es-AR"/>
        </w:rPr>
        <w:t xml:space="preserve"> merced a su vulnerabilidad”</w:t>
      </w:r>
      <w:r w:rsidR="00A215FB">
        <w:rPr>
          <w:rFonts w:ascii="Times New Roman" w:hAnsi="Times New Roman" w:cs="Times New Roman"/>
          <w:sz w:val="24"/>
          <w:szCs w:val="24"/>
          <w:lang w:val="es-AR"/>
        </w:rPr>
        <w:t xml:space="preserve"> (</w:t>
      </w:r>
      <w:proofErr w:type="spellStart"/>
      <w:r w:rsidR="00A215FB">
        <w:rPr>
          <w:rFonts w:ascii="Times New Roman" w:hAnsi="Times New Roman" w:cs="Times New Roman"/>
          <w:sz w:val="24"/>
          <w:szCs w:val="24"/>
          <w:lang w:val="es-AR"/>
        </w:rPr>
        <w:t>Daroqui</w:t>
      </w:r>
      <w:proofErr w:type="spellEnd"/>
      <w:r w:rsidR="00A215FB">
        <w:rPr>
          <w:rFonts w:ascii="Times New Roman" w:hAnsi="Times New Roman" w:cs="Times New Roman"/>
          <w:sz w:val="24"/>
          <w:szCs w:val="24"/>
          <w:lang w:val="es-AR"/>
        </w:rPr>
        <w:t xml:space="preserve"> y Guemureman,1999:</w:t>
      </w:r>
      <w:r>
        <w:rPr>
          <w:rFonts w:ascii="Times New Roman" w:hAnsi="Times New Roman" w:cs="Times New Roman"/>
          <w:sz w:val="24"/>
          <w:szCs w:val="24"/>
          <w:lang w:val="es-AR"/>
        </w:rPr>
        <w:t>21)</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La crisis de 1930 va a marcar el fin del modelo hasta entonces mencionado y la apertura de un nuevo modelo económico, basado en la industrialización por sustitución de importaciones. Consecuencia de esta industrialización se van a formar los nuevos centros urbanos basados en las migraciones internas, que van a agravar la cuestión social. </w:t>
      </w:r>
      <w:r w:rsidR="00954FC3">
        <w:rPr>
          <w:rFonts w:ascii="Times New Roman" w:hAnsi="Times New Roman" w:cs="Times New Roman"/>
          <w:sz w:val="24"/>
          <w:szCs w:val="24"/>
          <w:lang w:val="es-AR"/>
        </w:rPr>
        <w:t xml:space="preserve"> </w:t>
      </w:r>
    </w:p>
    <w:p w:rsidR="00D024B5"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Comienza a surgir la idea de que debía protegerse primero a las familias para poder así poder ejercer una protección sobre los mismos niños. Con la presidencia de Juan Domingo Perón, se produce una ruptura de la discrecionalidad de los derechos, hacia una universalización de los mismos. Otras protecciones se instrumentaron a partir del reconocimiento de los derechos laborales reclamados por la clase obrera.  </w:t>
      </w:r>
    </w:p>
    <w:p w:rsidR="00306591"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lastRenderedPageBreak/>
        <w:t xml:space="preserve">Estas nuevas formas de concebir a </w:t>
      </w:r>
      <w:proofErr w:type="spellStart"/>
      <w:r w:rsidRPr="005D30BD">
        <w:rPr>
          <w:rFonts w:ascii="Times New Roman" w:hAnsi="Times New Roman" w:cs="Times New Roman"/>
          <w:sz w:val="24"/>
          <w:szCs w:val="24"/>
          <w:lang w:val="es-AR"/>
        </w:rPr>
        <w:t>lxs</w:t>
      </w:r>
      <w:proofErr w:type="spellEnd"/>
      <w:r w:rsidRPr="005D30BD">
        <w:rPr>
          <w:rFonts w:ascii="Times New Roman" w:hAnsi="Times New Roman" w:cs="Times New Roman"/>
          <w:sz w:val="24"/>
          <w:szCs w:val="24"/>
          <w:lang w:val="es-AR"/>
        </w:rPr>
        <w:t xml:space="preserve"> niños va de la mano de las reformas institucionales que se plantean</w:t>
      </w:r>
      <w:r w:rsidR="00865C11">
        <w:rPr>
          <w:rFonts w:ascii="Times New Roman" w:hAnsi="Times New Roman" w:cs="Times New Roman"/>
          <w:sz w:val="24"/>
          <w:szCs w:val="24"/>
          <w:lang w:val="es-AR"/>
        </w:rPr>
        <w:t xml:space="preserve"> por parte del Estado Nacional. Sandra </w:t>
      </w:r>
      <w:proofErr w:type="spellStart"/>
      <w:r w:rsidR="00865C11">
        <w:rPr>
          <w:rFonts w:ascii="Times New Roman" w:hAnsi="Times New Roman" w:cs="Times New Roman"/>
          <w:sz w:val="24"/>
          <w:szCs w:val="24"/>
          <w:lang w:val="es-AR"/>
        </w:rPr>
        <w:t>Carli</w:t>
      </w:r>
      <w:proofErr w:type="spellEnd"/>
      <w:r w:rsidR="00865C11">
        <w:rPr>
          <w:rFonts w:ascii="Times New Roman" w:hAnsi="Times New Roman" w:cs="Times New Roman"/>
          <w:sz w:val="24"/>
          <w:szCs w:val="24"/>
          <w:lang w:val="es-AR"/>
        </w:rPr>
        <w:t xml:space="preserve"> (2000) plantea que y</w:t>
      </w:r>
      <w:r w:rsidR="008A6CB6">
        <w:rPr>
          <w:rFonts w:ascii="Times New Roman" w:hAnsi="Times New Roman" w:cs="Times New Roman"/>
          <w:sz w:val="24"/>
          <w:szCs w:val="24"/>
          <w:lang w:val="es-AR"/>
        </w:rPr>
        <w:t xml:space="preserve">a no se piensan </w:t>
      </w:r>
      <w:r w:rsidR="00D024B5">
        <w:rPr>
          <w:rFonts w:ascii="Times New Roman" w:hAnsi="Times New Roman" w:cs="Times New Roman"/>
          <w:sz w:val="24"/>
          <w:szCs w:val="24"/>
          <w:lang w:val="es-AR"/>
        </w:rPr>
        <w:t xml:space="preserve">en términos de peligrosidad, sino que se piensa a la niñez y juventud como “depositaria de la acción del </w:t>
      </w:r>
      <w:r w:rsidR="00CE01CE">
        <w:rPr>
          <w:rFonts w:ascii="Times New Roman" w:hAnsi="Times New Roman" w:cs="Times New Roman"/>
          <w:sz w:val="24"/>
          <w:szCs w:val="24"/>
          <w:lang w:val="es-AR"/>
        </w:rPr>
        <w:t>Estado” (</w:t>
      </w:r>
      <w:r w:rsidR="00865C11">
        <w:rPr>
          <w:rFonts w:ascii="Times New Roman" w:hAnsi="Times New Roman" w:cs="Times New Roman"/>
          <w:sz w:val="24"/>
          <w:szCs w:val="24"/>
          <w:lang w:val="es-AR"/>
        </w:rPr>
        <w:t>“Los únicos privilegiados serán los niños”)</w:t>
      </w:r>
      <w:r w:rsidR="00D024B5">
        <w:rPr>
          <w:rFonts w:ascii="Times New Roman" w:hAnsi="Times New Roman" w:cs="Times New Roman"/>
          <w:sz w:val="24"/>
          <w:szCs w:val="24"/>
          <w:lang w:val="es-AR"/>
        </w:rPr>
        <w:t xml:space="preserve"> y “heredera y continuadora de la nueva cultura política</w:t>
      </w:r>
      <w:r w:rsidR="00865C11">
        <w:rPr>
          <w:rFonts w:ascii="Times New Roman" w:hAnsi="Times New Roman" w:cs="Times New Roman"/>
          <w:sz w:val="24"/>
          <w:szCs w:val="24"/>
          <w:lang w:val="es-AR"/>
        </w:rPr>
        <w:t>” (“La nueva generación del 2000”)</w:t>
      </w:r>
      <w:r w:rsidR="00D024B5">
        <w:rPr>
          <w:rFonts w:ascii="Times New Roman" w:hAnsi="Times New Roman" w:cs="Times New Roman"/>
          <w:sz w:val="24"/>
          <w:szCs w:val="24"/>
          <w:lang w:val="es-AR"/>
        </w:rPr>
        <w:t xml:space="preserve"> </w:t>
      </w:r>
    </w:p>
    <w:p w:rsidR="00061B03" w:rsidRDefault="00B9150F" w:rsidP="00061B0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En 1946 el gobierno de Juan Domingo Perón disuelve la Sociedad de Beneficencia, donde posteriormente en 1947 se crea la Fundación Eva Perón, la cual será la encargada de brindar las políticas asistenciales del gobierno </w:t>
      </w:r>
      <w:r w:rsidR="004040E9">
        <w:rPr>
          <w:rFonts w:ascii="Times New Roman" w:hAnsi="Times New Roman" w:cs="Times New Roman"/>
          <w:sz w:val="24"/>
          <w:szCs w:val="24"/>
          <w:lang w:val="es-AR"/>
        </w:rPr>
        <w:t>peronista y dependerá del Ministerio de Trabajo y Previsión social.</w:t>
      </w:r>
    </w:p>
    <w:p w:rsidR="004040E9" w:rsidRDefault="004040E9" w:rsidP="00061B0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La Fundación Eva Perón se encargaba de incluir a aquellos que se encontraban al margen de los beneficios sociales otorgados por los sindicatos, estableciendo así, además de ayuda directa, otros programas de asistencia e integración. Es necesario recalcar, que las lógicas de asistencia no se sostenían en los viejos pilares de caridad</w:t>
      </w:r>
      <w:r w:rsidR="004E499F">
        <w:rPr>
          <w:rFonts w:ascii="Times New Roman" w:hAnsi="Times New Roman" w:cs="Times New Roman"/>
          <w:sz w:val="24"/>
          <w:szCs w:val="24"/>
          <w:lang w:val="es-AR"/>
        </w:rPr>
        <w:t xml:space="preserve"> y meritocracia</w:t>
      </w:r>
      <w:r w:rsidR="00C5321C">
        <w:rPr>
          <w:rFonts w:ascii="Times New Roman" w:hAnsi="Times New Roman" w:cs="Times New Roman"/>
          <w:sz w:val="24"/>
          <w:szCs w:val="24"/>
          <w:lang w:val="es-AR"/>
        </w:rPr>
        <w:t xml:space="preserve"> de la Sociedad de Beneficencia</w:t>
      </w:r>
      <w:r>
        <w:rPr>
          <w:rFonts w:ascii="Times New Roman" w:hAnsi="Times New Roman" w:cs="Times New Roman"/>
          <w:sz w:val="24"/>
          <w:szCs w:val="24"/>
          <w:lang w:val="es-AR"/>
        </w:rPr>
        <w:t xml:space="preserve">, sino que se planteaban en términos de justicia social y a través de una lógica de derecho. Una frase reconocida de Eva Perón que simboliza lo expuesto es: “Donde hay una necesidad, hay un derecho” </w:t>
      </w:r>
    </w:p>
    <w:p w:rsidR="00C5321C" w:rsidRDefault="00C5321C" w:rsidP="00061B0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La </w:t>
      </w:r>
      <w:bookmarkStart w:id="0" w:name="_GoBack"/>
      <w:bookmarkEnd w:id="0"/>
    </w:p>
    <w:p w:rsidR="004E499F" w:rsidRPr="005D30BD" w:rsidRDefault="004E499F" w:rsidP="00061B03">
      <w:pPr>
        <w:spacing w:line="360" w:lineRule="auto"/>
        <w:rPr>
          <w:rFonts w:ascii="Times New Roman" w:hAnsi="Times New Roman" w:cs="Times New Roman"/>
          <w:sz w:val="24"/>
          <w:szCs w:val="24"/>
          <w:lang w:val="es-AR"/>
        </w:rPr>
      </w:pPr>
    </w:p>
    <w:p w:rsidR="00061B03" w:rsidRPr="005D30BD" w:rsidRDefault="00061B03" w:rsidP="00061B03">
      <w:pPr>
        <w:spacing w:line="360" w:lineRule="auto"/>
        <w:rPr>
          <w:rFonts w:ascii="Times New Roman" w:hAnsi="Times New Roman" w:cs="Times New Roman"/>
          <w:sz w:val="24"/>
          <w:szCs w:val="24"/>
          <w:lang w:val="es-AR"/>
        </w:rPr>
      </w:pPr>
    </w:p>
    <w:p w:rsidR="00E76D77" w:rsidRPr="005D30BD" w:rsidRDefault="00E76D77">
      <w:pPr>
        <w:rPr>
          <w:sz w:val="24"/>
          <w:szCs w:val="24"/>
          <w:lang w:val="es-AR"/>
        </w:rPr>
      </w:pPr>
    </w:p>
    <w:sectPr w:rsidR="00E76D77" w:rsidRPr="005D30BD">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A6B" w:rsidRDefault="00957A6B" w:rsidP="00061B03">
      <w:pPr>
        <w:spacing w:after="0" w:line="240" w:lineRule="auto"/>
      </w:pPr>
      <w:r>
        <w:separator/>
      </w:r>
    </w:p>
  </w:endnote>
  <w:endnote w:type="continuationSeparator" w:id="0">
    <w:p w:rsidR="00957A6B" w:rsidRDefault="00957A6B" w:rsidP="00061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8099299"/>
      <w:docPartObj>
        <w:docPartGallery w:val="Page Numbers (Bottom of Page)"/>
        <w:docPartUnique/>
      </w:docPartObj>
    </w:sdtPr>
    <w:sdtEndPr/>
    <w:sdtContent>
      <w:p w:rsidR="006C2FF0" w:rsidRDefault="006C2FF0">
        <w:pPr>
          <w:pStyle w:val="Piedepgina"/>
          <w:jc w:val="right"/>
        </w:pPr>
        <w:r>
          <w:fldChar w:fldCharType="begin"/>
        </w:r>
        <w:r>
          <w:instrText>PAGE   \* MERGEFORMAT</w:instrText>
        </w:r>
        <w:r>
          <w:fldChar w:fldCharType="separate"/>
        </w:r>
        <w:r w:rsidR="00561788" w:rsidRPr="00561788">
          <w:rPr>
            <w:noProof/>
            <w:lang w:val="es-ES"/>
          </w:rPr>
          <w:t>6</w:t>
        </w:r>
        <w:r>
          <w:fldChar w:fldCharType="end"/>
        </w:r>
      </w:p>
    </w:sdtContent>
  </w:sdt>
  <w:p w:rsidR="006C2FF0" w:rsidRDefault="006C2FF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A6B" w:rsidRDefault="00957A6B" w:rsidP="00061B03">
      <w:pPr>
        <w:spacing w:after="0" w:line="240" w:lineRule="auto"/>
      </w:pPr>
      <w:r>
        <w:separator/>
      </w:r>
    </w:p>
  </w:footnote>
  <w:footnote w:type="continuationSeparator" w:id="0">
    <w:p w:rsidR="00957A6B" w:rsidRDefault="00957A6B" w:rsidP="00061B03">
      <w:pPr>
        <w:spacing w:after="0" w:line="240" w:lineRule="auto"/>
      </w:pPr>
      <w:r>
        <w:continuationSeparator/>
      </w:r>
    </w:p>
  </w:footnote>
  <w:footnote w:id="1">
    <w:p w:rsidR="00061B03" w:rsidRPr="0056545C" w:rsidRDefault="00061B03" w:rsidP="00061B03">
      <w:pPr>
        <w:pStyle w:val="Textonotapie"/>
        <w:rPr>
          <w:lang w:val="es-AR"/>
        </w:rPr>
      </w:pPr>
      <w:r>
        <w:rPr>
          <w:rStyle w:val="Refdenotaalpie"/>
        </w:rPr>
        <w:footnoteRef/>
      </w:r>
      <w:r w:rsidRPr="0056545C">
        <w:rPr>
          <w:lang w:val="es-AR"/>
        </w:rPr>
        <w:t xml:space="preserve"> </w:t>
      </w:r>
      <w:r>
        <w:rPr>
          <w:lang w:val="es-AR"/>
        </w:rPr>
        <w:t xml:space="preserve">Alberto </w:t>
      </w:r>
      <w:proofErr w:type="spellStart"/>
      <w:r>
        <w:rPr>
          <w:lang w:val="es-AR"/>
        </w:rPr>
        <w:t>Parisi</w:t>
      </w:r>
      <w:proofErr w:type="spellEnd"/>
      <w:r>
        <w:rPr>
          <w:lang w:val="es-AR"/>
        </w:rPr>
        <w:t xml:space="preserve"> entiende que dentro de los paradigmas se encuentra una compleja red de categorías y conceptos. Las categorías son esquemas o estructuras formales elaboradas por la reflexión teórica; por ser formales no nos proporcionan por si mima ningún objeto de conocimiento propiamente dicho. Se distinguen de los conceptos que sí proporcionan algún conocimiento. Las diferentes categorías van generando una lógica, una forma de ver las cosas y nos posiciona en un paradigma particular. </w:t>
      </w:r>
    </w:p>
  </w:footnote>
  <w:footnote w:id="2">
    <w:p w:rsidR="00061B03" w:rsidRPr="000B7A98" w:rsidRDefault="00061B03" w:rsidP="00061B03">
      <w:pPr>
        <w:pStyle w:val="Textonotapie"/>
        <w:rPr>
          <w:lang w:val="es-AR"/>
        </w:rPr>
      </w:pPr>
      <w:r>
        <w:rPr>
          <w:rStyle w:val="Refdenotaalpie"/>
        </w:rPr>
        <w:footnoteRef/>
      </w:r>
      <w:r w:rsidRPr="000B7A98">
        <w:rPr>
          <w:lang w:val="es-AR"/>
        </w:rPr>
        <w:t xml:space="preserve"> </w:t>
      </w:r>
      <w:r>
        <w:rPr>
          <w:lang w:val="es-AR"/>
        </w:rPr>
        <w:t>Se crea en 1823 con el gobierno d</w:t>
      </w:r>
      <w:r w:rsidR="0075665D">
        <w:rPr>
          <w:lang w:val="es-AR"/>
        </w:rPr>
        <w:t>e Rivadavia, surge para limitar las funciones de</w:t>
      </w:r>
      <w:r>
        <w:rPr>
          <w:lang w:val="es-AR"/>
        </w:rPr>
        <w:t xml:space="preserve"> la Iglesia Católica que en ese momento era quién cumplía el rol principal de asistencia en los niños, a través de la caridad y la solidaridad. </w:t>
      </w:r>
    </w:p>
  </w:footnote>
  <w:footnote w:id="3">
    <w:p w:rsidR="00954FC3" w:rsidRPr="00954FC3" w:rsidRDefault="00954FC3">
      <w:pPr>
        <w:pStyle w:val="Textonotapie"/>
        <w:rPr>
          <w:lang w:val="es-AR"/>
        </w:rPr>
      </w:pPr>
      <w:r>
        <w:rPr>
          <w:rStyle w:val="Refdenotaalpie"/>
        </w:rPr>
        <w:footnoteRef/>
      </w:r>
      <w:r w:rsidRPr="00954FC3">
        <w:rPr>
          <w:lang w:val="es-AR"/>
        </w:rPr>
        <w:t xml:space="preserve"> </w:t>
      </w:r>
      <w:r>
        <w:rPr>
          <w:lang w:val="es-AR"/>
        </w:rPr>
        <w:t>Niño – alumno haciendo referencia a aquellos niños que se encontraban “alojados” en las instituciones educativas, q</w:t>
      </w:r>
      <w:r w:rsidR="00426BC6">
        <w:rPr>
          <w:lang w:val="es-AR"/>
        </w:rPr>
        <w:t>uienes por esta razón son portadores de la categoría de “Niño”</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8091F"/>
    <w:multiLevelType w:val="multilevel"/>
    <w:tmpl w:val="1B76C6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E0B24AA"/>
    <w:multiLevelType w:val="hybridMultilevel"/>
    <w:tmpl w:val="C1F2F2B0"/>
    <w:lvl w:ilvl="0" w:tplc="4580B5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B03"/>
    <w:rsid w:val="00061B03"/>
    <w:rsid w:val="00187BB5"/>
    <w:rsid w:val="0025356A"/>
    <w:rsid w:val="00263B3E"/>
    <w:rsid w:val="00306591"/>
    <w:rsid w:val="00346731"/>
    <w:rsid w:val="003648BC"/>
    <w:rsid w:val="0037168F"/>
    <w:rsid w:val="003E70E7"/>
    <w:rsid w:val="004040E9"/>
    <w:rsid w:val="00426BC6"/>
    <w:rsid w:val="00452AF2"/>
    <w:rsid w:val="004E499F"/>
    <w:rsid w:val="00554111"/>
    <w:rsid w:val="00561788"/>
    <w:rsid w:val="00580CDD"/>
    <w:rsid w:val="005A14C4"/>
    <w:rsid w:val="005D30BD"/>
    <w:rsid w:val="00623091"/>
    <w:rsid w:val="00682171"/>
    <w:rsid w:val="006C2FF0"/>
    <w:rsid w:val="006F5E73"/>
    <w:rsid w:val="0075665D"/>
    <w:rsid w:val="007B0485"/>
    <w:rsid w:val="007D7F4C"/>
    <w:rsid w:val="00810684"/>
    <w:rsid w:val="00865C11"/>
    <w:rsid w:val="008A6CB6"/>
    <w:rsid w:val="008B15E3"/>
    <w:rsid w:val="008D3E68"/>
    <w:rsid w:val="00954FC3"/>
    <w:rsid w:val="00957A6B"/>
    <w:rsid w:val="00A215FB"/>
    <w:rsid w:val="00B139D5"/>
    <w:rsid w:val="00B354B9"/>
    <w:rsid w:val="00B9150F"/>
    <w:rsid w:val="00C5321C"/>
    <w:rsid w:val="00CE01CE"/>
    <w:rsid w:val="00D024B5"/>
    <w:rsid w:val="00D157C9"/>
    <w:rsid w:val="00DE46F2"/>
    <w:rsid w:val="00E21592"/>
    <w:rsid w:val="00E41057"/>
    <w:rsid w:val="00E61F4B"/>
    <w:rsid w:val="00E76D77"/>
    <w:rsid w:val="00ED469C"/>
    <w:rsid w:val="00F74132"/>
    <w:rsid w:val="00FF4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56F3B"/>
  <w15:chartTrackingRefBased/>
  <w15:docId w15:val="{6F56E7BA-12A5-406C-8E3C-8581E0DD1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B0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061B0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61B03"/>
    <w:rPr>
      <w:sz w:val="20"/>
      <w:szCs w:val="20"/>
    </w:rPr>
  </w:style>
  <w:style w:type="character" w:styleId="Refdenotaalpie">
    <w:name w:val="footnote reference"/>
    <w:basedOn w:val="Fuentedeprrafopredeter"/>
    <w:uiPriority w:val="99"/>
    <w:semiHidden/>
    <w:unhideWhenUsed/>
    <w:rsid w:val="00061B03"/>
    <w:rPr>
      <w:vertAlign w:val="superscript"/>
    </w:rPr>
  </w:style>
  <w:style w:type="paragraph" w:styleId="Prrafodelista">
    <w:name w:val="List Paragraph"/>
    <w:basedOn w:val="Normal"/>
    <w:uiPriority w:val="34"/>
    <w:qFormat/>
    <w:rsid w:val="007B0485"/>
    <w:pPr>
      <w:ind w:left="720"/>
      <w:contextualSpacing/>
    </w:pPr>
  </w:style>
  <w:style w:type="paragraph" w:styleId="Textonotaalfinal">
    <w:name w:val="endnote text"/>
    <w:basedOn w:val="Normal"/>
    <w:link w:val="TextonotaalfinalCar"/>
    <w:uiPriority w:val="99"/>
    <w:semiHidden/>
    <w:unhideWhenUsed/>
    <w:rsid w:val="00954FC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4FC3"/>
    <w:rPr>
      <w:sz w:val="20"/>
      <w:szCs w:val="20"/>
    </w:rPr>
  </w:style>
  <w:style w:type="character" w:styleId="Refdenotaalfinal">
    <w:name w:val="endnote reference"/>
    <w:basedOn w:val="Fuentedeprrafopredeter"/>
    <w:uiPriority w:val="99"/>
    <w:semiHidden/>
    <w:unhideWhenUsed/>
    <w:rsid w:val="00954FC3"/>
    <w:rPr>
      <w:vertAlign w:val="superscript"/>
    </w:rPr>
  </w:style>
  <w:style w:type="paragraph" w:styleId="Encabezado">
    <w:name w:val="header"/>
    <w:basedOn w:val="Normal"/>
    <w:link w:val="EncabezadoCar"/>
    <w:uiPriority w:val="99"/>
    <w:unhideWhenUsed/>
    <w:rsid w:val="006C2F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2FF0"/>
  </w:style>
  <w:style w:type="paragraph" w:styleId="Piedepgina">
    <w:name w:val="footer"/>
    <w:basedOn w:val="Normal"/>
    <w:link w:val="PiedepginaCar"/>
    <w:uiPriority w:val="99"/>
    <w:unhideWhenUsed/>
    <w:rsid w:val="006C2F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2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A317D-39A9-4AB3-BA23-1021972FB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7</Pages>
  <Words>2004</Words>
  <Characters>11428</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27</cp:revision>
  <dcterms:created xsi:type="dcterms:W3CDTF">2019-01-07T12:46:00Z</dcterms:created>
  <dcterms:modified xsi:type="dcterms:W3CDTF">2019-01-09T22:47:00Z</dcterms:modified>
</cp:coreProperties>
</file>