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Loan terms</w:t>
      </w:r>
    </w:p>
    <w:p>
      <w:r>
        <w:t xml:space="preserve">The loan tenure is 12 to 36 months.</w:t>
      </w:r>
    </w:p>
    <w:p>
      <w:r>
        <w:t xml:space="preserve">The interest rate is fixed for the full tenure.</w:t>
      </w:r>
    </w:p>
    <w:p>
      <w:pPr>
        <w:pStyle w:val="Heading1"/>
      </w:pPr>
      <w:r>
        <w:t xml:space="preserve">Auto debit</w:t>
      </w:r>
    </w:p>
    <w:p>
      <w:r>
        <w:t xml:space="preserve">EMIs are collected by auto debit on the 5th of every month.</w:t>
      </w:r>
    </w:p>
    <w:p>
      <w:r>
        <w:t xml:space="preserve">If the auto debit fails, a bounce charge of ₹350 applies.</w:t>
      </w:r>
    </w:p>
  </w:body>
</w:document>
</file>