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Loan terms</w:t>
      </w:r>
    </w:p>
    <w:p>
      <w:r>
        <w:t xml:space="preserve">Personal loans are given for 12 to 36 months at a fixed interest rate.</w:t>
      </w:r>
    </w:p>
    <w:p>
      <w:pPr>
        <w:pStyle w:val="Heading1"/>
      </w:pPr>
      <w:r>
        <w:t xml:space="preserve">Auto debit</w:t>
      </w:r>
    </w:p>
    <w:p>
      <w:r>
        <w:t xml:space="preserve">EMIs are collected by auto debit on the 5th of every month. If the auto debit fails, a bounce charge of ₹350 applies.</w:t>
      </w:r>
    </w:p>
    <w:p>
      <w:pPr>
        <w:pStyle w:val="Heading1"/>
      </w:pPr>
      <w:r>
        <w:t xml:space="preserve">Foreclosure</w:t>
      </w:r>
    </w:p>
    <w:p>
      <w:r>
        <w:t xml:space="preserve">A loan can be closed early after 6 EMIs. Foreclosure charges are 2% of the outstanding principal.</w:t>
      </w:r>
    </w:p>
  </w:body>
</w:document>
</file>