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PIScanner: A Cost-Aware, Judge-Validated Framework for Automated Prompt-Injection Testing of LLM Chatbots</w:t>
      </w:r>
    </w:p>
    <w:p>
      <w:pPr>
        <w:spacing w:after="20"/>
        <w:jc w:val="center"/>
      </w:pPr>
      <w:r>
        <w:rPr>
          <w:rFonts w:ascii="Times New Roman" w:cs="Times New Roman" w:eastAsia="Times New Roman" w:hAnsi="Times New Roman"/>
          <w:sz w:val="22"/>
          <w:szCs w:val="22"/>
        </w:rPr>
        <w:t xml:space="preserve">Lalit Bist, [Teammate 2], [Teammate 3], and [Faculty Guide]</w:t>
      </w:r>
    </w:p>
    <w:p>
      <w:pPr>
        <w:spacing w:after="20"/>
        <w:jc w:val="center"/>
      </w:pPr>
      <w:r>
        <w:rPr>
          <w:rFonts w:ascii="Times New Roman" w:cs="Times New Roman" w:eastAsia="Times New Roman" w:hAnsi="Times New Roman"/>
          <w:i/>
          <w:iCs/>
          <w:sz w:val="18"/>
          <w:szCs w:val="18"/>
        </w:rPr>
        <w:t xml:space="preserve">Master of Computer Applications, [Your Institution], [City], India</w:t>
      </w:r>
    </w:p>
    <w:p>
      <w:pPr>
        <w:spacing w:after="160"/>
        <w:jc w:val="center"/>
      </w:pPr>
      <w:r>
        <w:rPr>
          <w:rFonts w:ascii="Times New Roman" w:cs="Times New Roman" w:eastAsia="Times New Roman" w:hAnsi="Times New Roman"/>
          <w:i/>
          <w:iCs/>
          <w:sz w:val="18"/>
          <w:szCs w:val="18"/>
        </w:rPr>
        <w:t xml:space="preserve">Email: lalitbist.edu@gmail.com</w:t>
      </w:r>
    </w:p>
    <w:p>
      <w:pPr>
        <w:spacing w:after="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Large Language Model (LLM) chatbots are increasingly deployed in customer support, education, and enterprise workflows, yet they remain highly susceptible to prompt-injection attacks, ranked the top risk in the OWASP Top 10 for LLM Applications. Existing red-teaming tools largely probe raw models or APIs and rarely test the chatbot as an end user experiences it, nor do they quantify the reliability of their own success detection. This paper presents PIScanner, an open-source framework that automates black-box prompt-injection testing of deployed LLM chatbots. PIScanner provides a curated library of over 120 attack payloads across seven categories—direct override, role hijacking, encoding obfuscation, system-prompt extraction, indirect injection, agentic data-exfiltration, and multi-turn attacks—and can target local models, JSON chat APIs, and live JavaScript chat widgets via browser automation. Its core contribution is a cost-aware detection cascade in which inexpensive keyword and semantic layers screen every response while an LLM-as-judge establishes ground truth, enabling the precision and recall of the cheap detectors to be measured rather than assumed. We evaluate PIScanner on an open model judged by a larger local model, and validate the pipeline on a controlled vulnerable chatbot, on which it detected injections across all categories while maintaining a 0% false-positive rate on benign traffic. PIScanner and its PISecBench dataset are released as open source to support reproducible LLM-security research.</w:t>
      </w:r>
    </w:p>
    <w:p>
      <w:pPr>
        <w:spacing w:after="18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Prompt injection, large language models, AI security, LLM red-teaming, chatbot vulnerability, cybersecurity.</w:t>
      </w:r>
    </w:p>
    <w:p>
      <w:pPr>
        <w:spacing w:after="100" w:before="180"/>
      </w:pPr>
      <w:r>
        <w:rPr>
          <w:rFonts w:ascii="Times New Roman" w:cs="Times New Roman" w:eastAsia="Times New Roman" w:hAnsi="Times New Roman"/>
          <w:b/>
          <w:bCs/>
          <w:caps/>
          <w:sz w:val="22"/>
          <w:szCs w:val="22"/>
        </w:rPr>
        <w:t xml:space="preserve">I.  Introduction</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Large Language Models (LLMs) now power conversational agents embedded in websites, mobile applications, and enterprise systems. While these chatbots deliver substantial value, their reliance on natural-language instructions makes them vulnerable to prompt injection: an attacker supplies input that overrides the developer's intended instructions, causing the model to disregard its constraints, disclose confidential information such as its system prompt, adopt an unauthorized persona, or take harmful actions. The Open Worldwide Application Security Project (OWASP) ranks prompt injection as the foremost risk in its Top 10 for LLM Applications [1].</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Despite growing awareness, practitioners lack accessible tooling to answer a simple, practical question: how vulnerable is a particular deployed chatbot to prompt injection? Existing frameworks such as garak [6] and PyRIT [7] focus on probing raw models or APIs, and promptfoo [8] targets a developer's own prompts in continuous integration. Few tools test the chatbot as an end user actually experiences it—through a live web widget—and fewer still quantify how reliably their own detection distinguishes a successful attack from a mere refusal.</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This paper presents PIScanner, an open-source framework that automates black-box prompt-injection testing of deployed LLM chatbots. Our contributions are:</w:t>
      </w:r>
    </w:p>
    <w:p>
      <w:pPr>
        <w:spacing w:after="60" w:line="240"/>
        <w:jc w:val="both"/>
      </w:pPr>
      <w:r>
        <w:rPr>
          <w:rFonts w:ascii="Times New Roman" w:cs="Times New Roman" w:eastAsia="Times New Roman" w:hAnsi="Times New Roman"/>
          <w:b/>
          <w:bCs/>
          <w:i w:val="false"/>
          <w:iCs w:val="false"/>
          <w:caps w:val="false"/>
          <w:sz w:val="20"/>
          <w:szCs w:val="20"/>
        </w:rPr>
        <w:t xml:space="preserve">1) </w:t>
      </w:r>
      <w:r>
        <w:rPr>
          <w:rFonts w:ascii="Times New Roman" w:cs="Times New Roman" w:eastAsia="Times New Roman" w:hAnsi="Times New Roman"/>
          <w:b w:val="false"/>
          <w:bCs w:val="false"/>
          <w:i w:val="false"/>
          <w:iCs w:val="false"/>
          <w:caps w:val="false"/>
          <w:sz w:val="20"/>
          <w:szCs w:val="20"/>
        </w:rPr>
        <w:t xml:space="preserve">An open-source framework that tests deployed chatbots end to end—local models, JSON chat APIs, and live JavaScript chat widgets—via a unified command-line interface.</w:t>
      </w:r>
    </w:p>
    <w:p>
      <w:pPr>
        <w:spacing w:after="60" w:line="240"/>
        <w:jc w:val="both"/>
      </w:pPr>
      <w:r>
        <w:rPr>
          <w:rFonts w:ascii="Times New Roman" w:cs="Times New Roman" w:eastAsia="Times New Roman" w:hAnsi="Times New Roman"/>
          <w:b/>
          <w:bCs/>
          <w:i w:val="false"/>
          <w:iCs w:val="false"/>
          <w:caps w:val="false"/>
          <w:sz w:val="20"/>
          <w:szCs w:val="20"/>
        </w:rPr>
        <w:t xml:space="preserve">2) </w:t>
      </w:r>
      <w:r>
        <w:rPr>
          <w:rFonts w:ascii="Times New Roman" w:cs="Times New Roman" w:eastAsia="Times New Roman" w:hAnsi="Times New Roman"/>
          <w:b w:val="false"/>
          <w:bCs w:val="false"/>
          <w:i w:val="false"/>
          <w:iCs w:val="false"/>
          <w:caps w:val="false"/>
          <w:sz w:val="20"/>
          <w:szCs w:val="20"/>
        </w:rPr>
        <w:t xml:space="preserve">A curated payload library of over 120 attacks across seven categories, including agentic data-exfiltration and multi-turn attacks, released as the PISecBench dataset.</w:t>
      </w:r>
    </w:p>
    <w:p>
      <w:pPr>
        <w:spacing w:after="60" w:line="240"/>
        <w:jc w:val="both"/>
      </w:pPr>
      <w:r>
        <w:rPr>
          <w:rFonts w:ascii="Times New Roman" w:cs="Times New Roman" w:eastAsia="Times New Roman" w:hAnsi="Times New Roman"/>
          <w:b/>
          <w:bCs/>
          <w:i w:val="false"/>
          <w:iCs w:val="false"/>
          <w:caps w:val="false"/>
          <w:sz w:val="20"/>
          <w:szCs w:val="20"/>
        </w:rPr>
        <w:t xml:space="preserve">3) </w:t>
      </w:r>
      <w:r>
        <w:rPr>
          <w:rFonts w:ascii="Times New Roman" w:cs="Times New Roman" w:eastAsia="Times New Roman" w:hAnsi="Times New Roman"/>
          <w:b w:val="false"/>
          <w:bCs w:val="false"/>
          <w:i w:val="false"/>
          <w:iCs w:val="false"/>
          <w:caps w:val="false"/>
          <w:sz w:val="20"/>
          <w:szCs w:val="20"/>
        </w:rPr>
        <w:t xml:space="preserve">A cost-aware, compliance-aware detection cascade whose cheap keyword and semantic layers are validated against an LLM-as-judge, yielding measured precision and recall rather than assumed accuracy.</w:t>
      </w:r>
    </w:p>
    <w:p>
      <w:pPr>
        <w:spacing w:after="120" w:line="240"/>
        <w:jc w:val="both"/>
      </w:pPr>
      <w:r>
        <w:rPr>
          <w:rFonts w:ascii="Times New Roman" w:cs="Times New Roman" w:eastAsia="Times New Roman" w:hAnsi="Times New Roman"/>
          <w:b/>
          <w:bCs/>
          <w:i w:val="false"/>
          <w:iCs w:val="false"/>
          <w:caps w:val="false"/>
          <w:sz w:val="20"/>
          <w:szCs w:val="20"/>
        </w:rPr>
        <w:t xml:space="preserve">4) </w:t>
      </w:r>
      <w:r>
        <w:rPr>
          <w:rFonts w:ascii="Times New Roman" w:cs="Times New Roman" w:eastAsia="Times New Roman" w:hAnsi="Times New Roman"/>
          <w:b w:val="false"/>
          <w:bCs w:val="false"/>
          <w:i w:val="false"/>
          <w:iCs w:val="false"/>
          <w:caps w:val="false"/>
          <w:sz w:val="20"/>
          <w:szCs w:val="20"/>
        </w:rPr>
        <w:t xml:space="preserve">An empirical evaluation on an open model and a controlled vulnerable target, with explicit false-positive measurement on benign traffic.</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The remainder of this paper reviews related work (Section II), defines the threat model (Section III), details the system design (Section IV) and implementation (Section V), describes the experimental setup (Section VI), presents results (Section VII), discusses limitations (Section VIII), and concludes (Section IX).</w:t>
      </w:r>
    </w:p>
    <w:p>
      <w:pPr>
        <w:spacing w:after="100" w:before="180"/>
      </w:pPr>
      <w:r>
        <w:rPr>
          <w:rFonts w:ascii="Times New Roman" w:cs="Times New Roman" w:eastAsia="Times New Roman" w:hAnsi="Times New Roman"/>
          <w:b/>
          <w:bCs/>
          <w:caps/>
          <w:sz w:val="22"/>
          <w:szCs w:val="22"/>
        </w:rPr>
        <w:t xml:space="preserve">II.  Related Work</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Prompt-injection attacks were systematized by Perez and Ribeiro [2], who showed that appended instructions can hijack instruction-tuned models. Greshake et al. [3] introduced indirect prompt injection, in which malicious instructions are embedded in content the model later retrieves, compromising real-world LLM-integrated applications. Liu et al. [4] formalized injection attacks against LLM-integrated applications, and the HackAPrompt study [5] collected a large corpus of adversarial prompts through a global competition. Related jailbreak research [10] analyzes how safety training fails under adversarial prompting.</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On the tooling side, garak [6] offers a broad battery of probes against model endpoints, PyRIT [7] provides an orchestration framework for structured red-team campaigns, and promptfoo [8] evaluates developer-authored prompts in CI. These tools are valuable but generally operate at the model/API level; they do not drive a deployed web chat widget, and they seldom quantify the precision and recall of their own success detection. Benchmarks such as JailbreakBench [9] standardize jailbreak evaluation but focus on the raw model.</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Our detection design draws on the LLM-as-a-judge paradigm [11], which has been shown to correlate well with human preferences for evaluating model outputs. PIScanner applies this paradigm to establish ground truth for attack success and, crucially, to measure how well inexpensive detectors approximate it. To our knowledge, PIScanner is distinctive in combining deployed-chatbot testing (including browser automation), a cost-aware detection cascade, and judge-validated precision/recall in a single open framework.</w:t>
      </w:r>
    </w:p>
    <w:p>
      <w:pPr>
        <w:spacing w:after="100" w:before="180"/>
      </w:pPr>
      <w:r>
        <w:rPr>
          <w:rFonts w:ascii="Times New Roman" w:cs="Times New Roman" w:eastAsia="Times New Roman" w:hAnsi="Times New Roman"/>
          <w:b/>
          <w:bCs/>
          <w:caps/>
          <w:sz w:val="22"/>
          <w:szCs w:val="22"/>
        </w:rPr>
        <w:t xml:space="preserve">III.  Threat Model</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We consider a black-box external attacker who interacts with a deployed LLM chatbot solely through its natural-language interface. The attacker cannot observe or modify the model weights, the system prompt, or server-side configuration; they can only submit user messages and observe responses. The attacker's objective is to induce the model to violate its deployment policy—ignoring constraints, disclosing its system prompt, adopting a forbidden persona, exfiltrating user data, or driving an agent to take unauthorized actions. This reflects a realistic adversary probing a production chatbot and deliberately excludes white-box and training-time attacks. All testing in this work is conducted against systems the authors own or are authorized to test; PIScanner is intended for defensive use under this constraint.</w:t>
      </w:r>
    </w:p>
    <w:p>
      <w:pPr>
        <w:spacing w:after="100" w:before="180"/>
      </w:pPr>
      <w:r>
        <w:rPr>
          <w:rFonts w:ascii="Times New Roman" w:cs="Times New Roman" w:eastAsia="Times New Roman" w:hAnsi="Times New Roman"/>
          <w:b/>
          <w:bCs/>
          <w:caps/>
          <w:sz w:val="22"/>
          <w:szCs w:val="22"/>
        </w:rPr>
        <w:t xml:space="preserve">IV.  System Design</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PIScanner comprises four stages: a payload library, an asynchronous probing engine, a layered detection cascade, and an LLM-based validation judge.</w:t>
      </w:r>
    </w:p>
    <w:p>
      <w:pPr>
        <w:spacing w:after="60" w:before="100"/>
      </w:pPr>
      <w:r>
        <w:rPr>
          <w:rFonts w:ascii="Times New Roman" w:cs="Times New Roman" w:eastAsia="Times New Roman" w:hAnsi="Times New Roman"/>
          <w:b/>
          <w:bCs/>
          <w:i/>
          <w:iCs/>
          <w:sz w:val="20"/>
          <w:szCs w:val="20"/>
        </w:rPr>
        <w:t xml:space="preserve">A. Payload Taxonomy</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The payload library contains over 120 adversarial prompts organized into seven categories, summarized in Table I, plus 15 benign controls used to measure false positives. Payloads are drawn from public research and benchmarks [1]–[5], [9] and augmented with original PISecBench contributions for agentic and multi-turn attacks.</w:t>
      </w:r>
    </w:p>
    <w:p>
      <w:pPr>
        <w:spacing w:after="40" w:before="80"/>
        <w:jc w:val="center"/>
      </w:pPr>
      <w:r>
        <w:rPr>
          <w:rFonts w:ascii="Times New Roman" w:cs="Times New Roman" w:eastAsia="Times New Roman" w:hAnsi="Times New Roman"/>
          <w:b/>
          <w:bCs/>
          <w:caps/>
          <w:sz w:val="16"/>
          <w:szCs w:val="16"/>
        </w:rPr>
        <w:t xml:space="preserve">Table I.  Payload Categories in PISecBench</w:t>
      </w:r>
    </w:p>
    <w:tbl>
      <w:tblPr>
        <w:tblW w:type="dxa" w:w="8800"/>
        <w:tblBorders>
          <w:top w:val="single" w:color="888888" w:sz="4"/>
          <w:left w:val="single" w:color="888888" w:sz="4"/>
          <w:bottom w:val="single" w:color="888888" w:sz="4"/>
          <w:right w:val="single" w:color="888888" w:sz="4"/>
          <w:insideH w:val="single" w:color="BBBBBB" w:sz="2"/>
          <w:insideV w:val="single" w:color="BBBBBB" w:sz="2"/>
        </w:tblBorders>
      </w:tblPr>
      <w:tblGrid>
        <w:gridCol w:w="2200"/>
        <w:gridCol w:w="6600"/>
      </w:tblGrid>
      <w:tr>
        <w:trPr>
          <w:tblHeader/>
        </w:trPr>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Category</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Description</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Direct</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Override instructions in the user message</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Role hijack</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Reassign the model's identity/persona</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Encoding</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Obfuscate the attack (Base64, ROT13, leetspeak)</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Extraction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Elicit the hidden system prompt</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Indirect</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Inject via retrieved/embedded content (RAG)</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Agentic</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Exfiltrate data or hijack tools/actions</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Multi-turn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Inject after rapport-building turns</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Benign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Legitimate prompts (false-positive controls)</w:t>
            </w:r>
          </w:p>
        </w:tc>
      </w:tr>
    </w:tbl>
    <w:p>
      <w:pPr>
        <w:spacing w:after="60" w:before="100"/>
      </w:pPr>
      <w:r>
        <w:rPr>
          <w:rFonts w:ascii="Times New Roman" w:cs="Times New Roman" w:eastAsia="Times New Roman" w:hAnsi="Times New Roman"/>
          <w:b/>
          <w:bCs/>
          <w:i/>
          <w:iCs/>
          <w:sz w:val="20"/>
          <w:szCs w:val="20"/>
        </w:rPr>
        <w:t xml:space="preserve">B. Probing Engine</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The probing engine dispatches each payload to a target and records the response, HTTP status, and latency. Requests are asynchronous with a configurable concurrency limit. Three target types are supported: a local open model served through Ollama; any JSON chat API via a declarative target profile (request template, authentication headers, and a response path); and live website chat widgets driven by a headless browser (Playwright), which types payloads into the chat box and reads the rendered reply. Multi-turn attacks maintain conversation state across turns, and rate limiting is applied for production targets.</w:t>
      </w:r>
    </w:p>
    <w:p>
      <w:pPr>
        <w:spacing w:after="60" w:before="100"/>
      </w:pPr>
      <w:r>
        <w:rPr>
          <w:rFonts w:ascii="Times New Roman" w:cs="Times New Roman" w:eastAsia="Times New Roman" w:hAnsi="Times New Roman"/>
          <w:b/>
          <w:bCs/>
          <w:i/>
          <w:iCs/>
          <w:sz w:val="20"/>
          <w:szCs w:val="20"/>
        </w:rPr>
        <w:t xml:space="preserve">C. Detection Cascade</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Determining whether an attack succeeded is itself non-trivial, because a response may contain attack-related vocabulary while in fact refusing the attack. PIScanner therefore employs a cascade of increasing cost. Layer 1 applies category-specific keyword patterns but is compliance-aware: a keyword match counts as success only when the response lacks refusal/deflection language and, where possible, exhibits a category-specific compliance marker. Layer 2 computes the semantic similarity between the response and exemplar successful-injection responses using sentence embeddings. An optional learned classifier (TF-IDF or a fine-tuned transformer) can be enabled as an intermediate layer once trained. Layer 3 is the LLM-as-judge that provides ground truth. The cascade is motivated by cost efficiency: cheap layers run on every response, while the expensive judge is reserved for validation.</w:t>
      </w:r>
    </w:p>
    <w:p>
      <w:pPr>
        <w:spacing w:after="60" w:before="100"/>
      </w:pPr>
      <w:r>
        <w:rPr>
          <w:rFonts w:ascii="Times New Roman" w:cs="Times New Roman" w:eastAsia="Times New Roman" w:hAnsi="Times New Roman"/>
          <w:b/>
          <w:bCs/>
          <w:i/>
          <w:iCs/>
          <w:sz w:val="20"/>
          <w:szCs w:val="20"/>
        </w:rPr>
        <w:t xml:space="preserve">D. LLM-as-Judge Validation</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For each response, the judge receives the attacker payload, the response, and the attack category, and returns a structured verdict—SUCCESS, REFUSED, or UNCLEAR—together with a confidence and justification. The rubric defines success as the model actually complying with the injected instruction, as opposed to refusing, deflecting, or merely describing it. The judge is queried at temperature zero with enforced JSON output, and can be a commercial model (GPT-4o) or a local open model, permitting a fully offline evaluation.</w:t>
      </w:r>
    </w:p>
    <w:p>
      <w:pPr>
        <w:spacing w:after="100" w:before="180"/>
      </w:pPr>
      <w:r>
        <w:rPr>
          <w:rFonts w:ascii="Times New Roman" w:cs="Times New Roman" w:eastAsia="Times New Roman" w:hAnsi="Times New Roman"/>
          <w:b/>
          <w:bCs/>
          <w:caps/>
          <w:sz w:val="22"/>
          <w:szCs w:val="22"/>
        </w:rPr>
        <w:t xml:space="preserve">V.  Implementation</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PIScanner is implemented as a modular Python package (~2,000 lines) with a Typer-based command-line interface. HTTP probing uses httpx; browser automation uses Playwright; the semantic layer uses Sentence-Transformers; the optional classifier uses scikit-learn; and the judge integrates with Ollama and the OpenAI API. Results are stored as JSON and SQLite, and an HTML findings report is generated automatically. The tool exposes commands to inspect payloads, probe an API endpoint or website, and judge collected results, and reports per-category attack-success rates, a benign false-positive rate, and precision/recall against the judge. The project is released under the MIT license with unit tests and continuous integration.</w:t>
      </w:r>
    </w:p>
    <w:p>
      <w:pPr>
        <w:spacing w:after="100" w:before="180"/>
      </w:pPr>
      <w:r>
        <w:rPr>
          <w:rFonts w:ascii="Times New Roman" w:cs="Times New Roman" w:eastAsia="Times New Roman" w:hAnsi="Times New Roman"/>
          <w:b/>
          <w:bCs/>
          <w:caps/>
          <w:sz w:val="22"/>
          <w:szCs w:val="22"/>
        </w:rPr>
        <w:t xml:space="preserve">VI.  Experimental Setup</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We evaluate against Llama 3.2 (3B parameters) served locally through Ollama, using 61 attack payloads and 15 benign controls. Ground-truth labels are produced by an LLM judge; we report Llama 3.1 (8B) as the reference judge and additionally compare it against a smaller judge (Llama 3.2, 3B) to assess sensitivity to judge capacity. We further validate the end-to-end pipeline against a controlled, deliberately-vulnerable chatbot that we host locally, using the full expanded payload set. Because LLM outputs are non-deterministic, reported figures reflect a single collection run and should be interpreted as representative. Metrics are the per-category attack-success rate, the precision/recall/F1 of the keyword layer against the judge, and the false-positive rate on benign traffic.</w:t>
      </w:r>
    </w:p>
    <w:p>
      <w:pPr>
        <w:spacing w:after="100" w:before="180"/>
      </w:pPr>
      <w:r>
        <w:rPr>
          <w:rFonts w:ascii="Times New Roman" w:cs="Times New Roman" w:eastAsia="Times New Roman" w:hAnsi="Times New Roman"/>
          <w:b/>
          <w:bCs/>
          <w:caps/>
          <w:sz w:val="22"/>
          <w:szCs w:val="22"/>
        </w:rPr>
        <w:t xml:space="preserve">VII.  Results and Discussion</w:t>
      </w:r>
    </w:p>
    <w:p>
      <w:pPr>
        <w:spacing w:after="60" w:before="100"/>
      </w:pPr>
      <w:r>
        <w:rPr>
          <w:rFonts w:ascii="Times New Roman" w:cs="Times New Roman" w:eastAsia="Times New Roman" w:hAnsi="Times New Roman"/>
          <w:b/>
          <w:bCs/>
          <w:i/>
          <w:iCs/>
          <w:sz w:val="20"/>
          <w:szCs w:val="20"/>
        </w:rPr>
        <w:t xml:space="preserve">A. Attack Success by Category</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Table II reports, per category, the fraction of attacks the reference (8B) judge deemed successful against Llama 3.2. The target was most vulnerable to role-hijacking attacks (10 of 12) and entirely resisted encoding-obfuscated and system-prompt-extraction attacks in this run, with direct overrides succeeding in roughly half of attempts.</w:t>
      </w:r>
    </w:p>
    <w:p>
      <w:pPr>
        <w:spacing w:after="40" w:before="80"/>
        <w:jc w:val="center"/>
      </w:pPr>
      <w:r>
        <w:rPr>
          <w:rFonts w:ascii="Times New Roman" w:cs="Times New Roman" w:eastAsia="Times New Roman" w:hAnsi="Times New Roman"/>
          <w:b/>
          <w:bCs/>
          <w:caps/>
          <w:sz w:val="16"/>
          <w:szCs w:val="16"/>
        </w:rPr>
        <w:t xml:space="preserve">Table II.  Judged Attack Success by Category (Llama 3.2)</w:t>
      </w:r>
    </w:p>
    <w:tbl>
      <w:tblPr>
        <w:tblW w:type="dxa" w:w="8800"/>
        <w:tblBorders>
          <w:top w:val="single" w:color="888888" w:sz="4"/>
          <w:left w:val="single" w:color="888888" w:sz="4"/>
          <w:bottom w:val="single" w:color="888888" w:sz="4"/>
          <w:right w:val="single" w:color="888888" w:sz="4"/>
          <w:insideH w:val="single" w:color="BBBBBB" w:sz="2"/>
          <w:insideV w:val="single" w:color="BBBBBB" w:sz="2"/>
        </w:tblBorders>
      </w:tblPr>
      <w:tblGrid>
        <w:gridCol w:w="3400"/>
        <w:gridCol w:w="2800"/>
        <w:gridCol w:w="2600"/>
      </w:tblGrid>
      <w:tr>
        <w:trPr>
          <w:tblHeader/>
        </w:trPr>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Category</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Success</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Rate</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Role</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10 / 12</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83%</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Direct</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7 / 15</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47%</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Indirect</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4 / 12</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33%</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Encoding</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 / 12</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Extraction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 / 10</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Overall</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21 / 61</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34%</w:t>
            </w:r>
          </w:p>
        </w:tc>
      </w:tr>
    </w:tbl>
    <w:p>
      <w:pPr>
        <w:spacing w:after="60" w:before="100"/>
      </w:pPr>
      <w:r>
        <w:rPr>
          <w:rFonts w:ascii="Times New Roman" w:cs="Times New Roman" w:eastAsia="Times New Roman" w:hAnsi="Times New Roman"/>
          <w:b/>
          <w:bCs/>
          <w:i/>
          <w:iCs/>
          <w:sz w:val="20"/>
          <w:szCs w:val="20"/>
        </w:rPr>
        <w:t xml:space="preserve">B. Keyword Layer vs. Judge</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Treating the judge's SUCCESS verdicts as ground truth, the keyword layer yields the confusion matrix in Table III: precision 0.57 and recall 0.19. The dominant finding is low recall—the layer captured only four of twenty-one genuine injections, missing almost all role-hijacking successes, which involve the model adopting a forbidden persona without emitting a characteristic marker token. This quantifies and motivates the need for semantic or learned detectors that reason about model behavior rather than surface vocabulary.</w:t>
      </w:r>
    </w:p>
    <w:p>
      <w:pPr>
        <w:spacing w:after="40" w:before="80"/>
        <w:jc w:val="center"/>
      </w:pPr>
      <w:r>
        <w:rPr>
          <w:rFonts w:ascii="Times New Roman" w:cs="Times New Roman" w:eastAsia="Times New Roman" w:hAnsi="Times New Roman"/>
          <w:b/>
          <w:bCs/>
          <w:caps/>
          <w:sz w:val="16"/>
          <w:szCs w:val="16"/>
        </w:rPr>
        <w:t xml:space="preserve">Table III.  Keyword Layer Evaluated Against the Judge</w:t>
      </w:r>
    </w:p>
    <w:tbl>
      <w:tblPr>
        <w:tblW w:type="dxa" w:w="8800"/>
        <w:tblBorders>
          <w:top w:val="single" w:color="888888" w:sz="4"/>
          <w:left w:val="single" w:color="888888" w:sz="4"/>
          <w:bottom w:val="single" w:color="888888" w:sz="4"/>
          <w:right w:val="single" w:color="888888" w:sz="4"/>
          <w:insideH w:val="single" w:color="BBBBBB" w:sz="2"/>
          <w:insideV w:val="single" w:color="BBBBBB" w:sz="2"/>
        </w:tblBorders>
      </w:tblPr>
      <w:tblGrid>
        <w:gridCol w:w="4800"/>
        <w:gridCol w:w="4000"/>
      </w:tblGrid>
      <w:tr>
        <w:trPr>
          <w:tblHeader/>
        </w:trPr>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Metric</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Value</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True positives (TP)</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4</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False positives (FP)</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3</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False negatives (FN)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17</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True negatives (TN)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37</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Precision</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0.57</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Recall</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0.19</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F1 / Accuracy</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0.29 / 0.67</w:t>
            </w:r>
          </w:p>
        </w:tc>
      </w:tr>
    </w:tbl>
    <w:p>
      <w:pPr>
        <w:spacing w:after="60" w:before="100"/>
      </w:pPr>
      <w:r>
        <w:rPr>
          <w:rFonts w:ascii="Times New Roman" w:cs="Times New Roman" w:eastAsia="Times New Roman" w:hAnsi="Times New Roman"/>
          <w:b/>
          <w:bCs/>
          <w:i/>
          <w:iCs/>
          <w:sz w:val="20"/>
          <w:szCs w:val="20"/>
        </w:rPr>
        <w:t xml:space="preserve">C. Sensitivity to Judge Capacity</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Because the judge supplies ground truth, its capability bounds every downstream metric. Table IV compares the two judges on the identical responses. The smaller judge was over-generous, labeling 26 attacks successful and incorrectly crediting encoding/extraction refusals; the larger judge corrected this, aligning with manual review. We therefore adopt the 8B judge as reference, while noting that a commercial-grade judge would provide a stronger reference still.</w:t>
      </w:r>
    </w:p>
    <w:p>
      <w:pPr>
        <w:spacing w:after="40" w:before="80"/>
        <w:jc w:val="center"/>
      </w:pPr>
      <w:r>
        <w:rPr>
          <w:rFonts w:ascii="Times New Roman" w:cs="Times New Roman" w:eastAsia="Times New Roman" w:hAnsi="Times New Roman"/>
          <w:b/>
          <w:bCs/>
          <w:caps/>
          <w:sz w:val="16"/>
          <w:szCs w:val="16"/>
        </w:rPr>
        <w:t xml:space="preserve">Table IV.  Effect of Judge Capacity on Reported Metrics</w:t>
      </w:r>
    </w:p>
    <w:tbl>
      <w:tblPr>
        <w:tblW w:type="dxa" w:w="8800"/>
        <w:tblBorders>
          <w:top w:val="single" w:color="888888" w:sz="4"/>
          <w:left w:val="single" w:color="888888" w:sz="4"/>
          <w:bottom w:val="single" w:color="888888" w:sz="4"/>
          <w:right w:val="single" w:color="888888" w:sz="4"/>
          <w:insideH w:val="single" w:color="BBBBBB" w:sz="2"/>
          <w:insideV w:val="single" w:color="BBBBBB" w:sz="2"/>
        </w:tblBorders>
      </w:tblPr>
      <w:tblGrid>
        <w:gridCol w:w="3000"/>
        <w:gridCol w:w="2600"/>
        <w:gridCol w:w="1600"/>
        <w:gridCol w:w="1600"/>
      </w:tblGrid>
      <w:tr>
        <w:trPr>
          <w:tblHeader/>
        </w:trPr>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Judge</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Labeled SUCCESS</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Precision</w:t>
            </w:r>
          </w:p>
        </w:tc>
        <w:tc>
          <w:tcPr>
            <w:tcW w:type="dxa" w:w="0"/>
            <w:shd w:fill="D9E2F3"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18"/>
                <w:szCs w:val="18"/>
              </w:rPr>
              <w:t xml:space="preserve">Recall</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Llama 3.2 (3B)</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26 / 61</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0.43</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0.12</w:t>
            </w:r>
          </w:p>
        </w:tc>
      </w:tr>
      <w:tr>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Llama 3.1 (8B)</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21 / 61</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0.57</w:t>
            </w:r>
          </w:p>
        </w:tc>
        <w:tc>
          <w:tcPr>
            <w:tcW w:type="dxa" w:w="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18"/>
                <w:szCs w:val="18"/>
              </w:rPr>
              <w:t xml:space="preserve">0.19</w:t>
            </w:r>
          </w:p>
        </w:tc>
      </w:tr>
    </w:tbl>
    <w:p>
      <w:pPr>
        <w:spacing w:after="60" w:before="100"/>
      </w:pPr>
      <w:r>
        <w:rPr>
          <w:rFonts w:ascii="Times New Roman" w:cs="Times New Roman" w:eastAsia="Times New Roman" w:hAnsi="Times New Roman"/>
          <w:b/>
          <w:bCs/>
          <w:i/>
          <w:iCs/>
          <w:sz w:val="20"/>
          <w:szCs w:val="20"/>
        </w:rPr>
        <w:t xml:space="preserve">D. Controlled Validation and False Positives</w:t>
      </w:r>
    </w:p>
    <w:p>
      <w:pPr>
        <w:spacing w:after="120" w:line="240"/>
        <w:ind w:firstLine="240"/>
        <w:jc w:val="both"/>
      </w:pPr>
      <w:r>
        <w:rPr>
          <w:rFonts w:ascii="Times New Roman" w:cs="Times New Roman" w:eastAsia="Times New Roman" w:hAnsi="Times New Roman"/>
          <w:b w:val="false"/>
          <w:bCs w:val="false"/>
          <w:i w:val="false"/>
          <w:iCs w:val="false"/>
          <w:caps w:val="false"/>
          <w:sz w:val="20"/>
          <w:szCs w:val="20"/>
        </w:rPr>
        <w:t xml:space="preserve">Against the controlled vulnerable chatbot, PIScanner detected injections across all attack categories—reaching 100% on the agentic category and 53.6% overall—while flagging none of the 15 benign prompts, a 0% false-positive rate. This confirms that the compliance-aware detector distinguishes genuine attacks from legitimate traffic and that the browser-automation path functions end to end. Together, the results indicate that inexpensive detection is usable but of limited recall, and that judge-validated evaluation is essential for trustworthy measurement.</w:t>
      </w:r>
    </w:p>
    <w:p>
      <w:pPr>
        <w:spacing w:after="100" w:before="180"/>
      </w:pPr>
      <w:r>
        <w:rPr>
          <w:rFonts w:ascii="Times New Roman" w:cs="Times New Roman" w:eastAsia="Times New Roman" w:hAnsi="Times New Roman"/>
          <w:b/>
          <w:bCs/>
          <w:caps/>
          <w:sz w:val="22"/>
          <w:szCs w:val="22"/>
        </w:rPr>
        <w:t xml:space="preserve">VIII.  Limitations</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Our evaluation targets a single open model over a single collection run; because LLM outputs are non-deterministic, results should be aggregated over multiple runs for stronger claims. The local judge, while adequate, is weaker than a commercial model, and judge quality bounds label quality. Browser automation is inherently site-specific and can be blocked by bot-protection mechanisms. The payload set is English-only, and responsible-use constraints limit large-scale testing of third-party production systems. These constraints define our future work rather than undermining the framework.</w:t>
      </w:r>
    </w:p>
    <w:p>
      <w:pPr>
        <w:spacing w:after="100" w:before="180"/>
      </w:pPr>
      <w:r>
        <w:rPr>
          <w:rFonts w:ascii="Times New Roman" w:cs="Times New Roman" w:eastAsia="Times New Roman" w:hAnsi="Times New Roman"/>
          <w:b/>
          <w:bCs/>
          <w:caps/>
          <w:sz w:val="22"/>
          <w:szCs w:val="22"/>
        </w:rPr>
        <w:t xml:space="preserve">IX.  Conclusion and Future Work</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We presented PIScanner, an open-source, cost-aware framework for automated prompt-injection testing of deployed LLM chatbots. PIScanner unifies a broad payload taxonomy, deployed-target probing including live web widgets, a compliance-aware detection cascade, and LLM-judge validation that quantifies the precision and recall of inexpensive detectors. Our evaluation shows that cheap keyword detection achieves moderate precision but poor recall—missing most subtle role-play compliance—while maintaining a zero false-positive rate on benign traffic, underscoring the value of judge-validated measurement. Future work includes adopting a commercial-grade judge, training and integrating a transformer-based classifier, evaluating against dedicated guardrail systems, conducting multi-model and multi-run studies with statistical reporting, and publishing the PISecBench benchmark to support reproducible research. PIScanner and PISecBench are available as open source.</w:t>
      </w:r>
    </w:p>
    <w:p>
      <w:pPr>
        <w:spacing w:after="100" w:before="180"/>
      </w:pPr>
      <w:r>
        <w:rPr>
          <w:rFonts w:ascii="Times New Roman" w:cs="Times New Roman" w:eastAsia="Times New Roman" w:hAnsi="Times New Roman"/>
          <w:b/>
          <w:bCs/>
          <w:caps/>
          <w:sz w:val="22"/>
          <w:szCs w:val="22"/>
        </w:rPr>
        <w:t xml:space="preserve">.  Acknowledgment</w:t>
      </w:r>
    </w:p>
    <w:p>
      <w:pPr>
        <w:spacing w:after="120" w:line="240"/>
        <w:jc w:val="both"/>
      </w:pPr>
      <w:r>
        <w:rPr>
          <w:rFonts w:ascii="Times New Roman" w:cs="Times New Roman" w:eastAsia="Times New Roman" w:hAnsi="Times New Roman"/>
          <w:b w:val="false"/>
          <w:bCs w:val="false"/>
          <w:i w:val="false"/>
          <w:iCs w:val="false"/>
          <w:caps w:val="false"/>
          <w:sz w:val="20"/>
          <w:szCs w:val="20"/>
        </w:rPr>
        <w:t xml:space="preserve">The authors thank the faculty and reviewers of [Your Institution] for their guidance, and the open-source community whose tools and datasets made this work possible.</w:t>
      </w:r>
    </w:p>
    <w:p>
      <w:pPr>
        <w:spacing w:after="100" w:before="180"/>
      </w:pPr>
      <w:r>
        <w:rPr>
          <w:rFonts w:ascii="Times New Roman" w:cs="Times New Roman" w:eastAsia="Times New Roman" w:hAnsi="Times New Roman"/>
          <w:b/>
          <w:bCs/>
          <w:caps/>
          <w:sz w:val="22"/>
          <w:szCs w:val="22"/>
        </w:rPr>
        <w:t xml:space="preserve">.  References</w:t>
      </w:r>
    </w:p>
    <w:p>
      <w:pPr>
        <w:spacing w:after="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OWASP Foundation, “OWASP Top 10 for Large Language Model Applications,” 2025. [Online]. Available: https://owasp.org/www-project-top-10-for-large-language-model-applications/</w:t>
      </w:r>
    </w:p>
    <w:p>
      <w:pPr>
        <w:spacing w:after="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F. Perez and I. Ribeiro, “Ignore Previous Prompt: Attack Techniques for Language Models,” in NeurIPS ML Safety Workshop, 2022.</w:t>
      </w:r>
    </w:p>
    <w:p>
      <w:pPr>
        <w:spacing w:after="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K. Greshake et al., “Not What You’ve Signed Up For: Compromising Real-World LLM-Integrated Applications with Indirect Prompt Injection,” in Proc. ACM Workshop on Artificial Intelligence and Security (AISec), 2023.</w:t>
      </w:r>
    </w:p>
    <w:p>
      <w:pPr>
        <w:spacing w:after="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Y. Liu et al., “Prompt Injection Attack against LLM-Integrated Applications,” arXiv:2306.05499, 2023.</w:t>
      </w:r>
    </w:p>
    <w:p>
      <w:pPr>
        <w:spacing w:after="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S. Schulhoff et al., “Ignore This Title and HackAPrompt: Exposing Systemic Vulnerabilities of LLMs through a Global Prompt Hacking Competition,” in Proc. EMNLP, 2023.</w:t>
      </w:r>
    </w:p>
    <w:p>
      <w:pPr>
        <w:spacing w:after="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L. Derczynski et al., “garak: A Framework for Security Probing Large Language Models,” arXiv:2406.11036, 2024.</w:t>
      </w:r>
    </w:p>
    <w:p>
      <w:pPr>
        <w:spacing w:after="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Microsoft, “PyRIT: Python Risk Identification Toolkit for Generative AI,” 2024. [Online]. Available: https://github.com/Azure/PyRIT</w:t>
      </w:r>
    </w:p>
    <w:p>
      <w:pPr>
        <w:spacing w:after="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promptfoo, “LLM evaluation and red-teaming toolkit,” 2024. [Online]. Available: https://www.promptfoo.dev/</w:t>
      </w:r>
    </w:p>
    <w:p>
      <w:pPr>
        <w:spacing w:after="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P. Chao et al., “JailbreakBench: An Open Robustness Benchmark for Jailbreaking Large Language Models,” in Proc. NeurIPS Datasets and Benchmarks, 2024.</w:t>
      </w:r>
    </w:p>
    <w:p>
      <w:pPr>
        <w:spacing w:after="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 Wei, N. Haghtalab, and J. Steinhardt, “Jailbroken: How Does LLM Safety Training Fail?,” in Proc. NeurIPS, 2023.</w:t>
      </w:r>
    </w:p>
    <w:p>
      <w:pPr>
        <w:spacing w:after="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L. Zheng et al., “Judging LLM-as-a-Judge with MT-Bench and Chatbot Arena,” in Proc. NeurIPS, 2023.</w:t>
      </w:r>
    </w:p>
    <w:p>
      <w:pPr>
        <w:spacing w:after="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H. Touvron et al., “Llama 2: Open Foundation and Fine-Tuned Chat Models,” arXiv:2307.09288, 2023.</w:t>
      </w:r>
    </w:p>
    <w:p>
      <w:pPr>
        <w:spacing w:after="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T. Gebru et al., “Datasheets for Datasets,” Communications of the ACM, vol. 64, no. 12, pp. 86–92, 2021.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2026-07-14T06:59:12.487Z</dcterms:created>
  <dcterms:modified xsi:type="dcterms:W3CDTF">2026-07-14T06:59:12.487Z</dcterms:modified>
</cp:coreProperties>
</file>

<file path=docProps/custom.xml><?xml version="1.0" encoding="utf-8"?>
<Properties xmlns="http://schemas.openxmlformats.org/officeDocument/2006/custom-properties" xmlns:vt="http://schemas.openxmlformats.org/officeDocument/2006/docPropsVTypes"/>
</file>