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02CC" w14:textId="77777777" w:rsidR="001628B4" w:rsidRDefault="00000000">
      <w:pPr>
        <w:pStyle w:val="Title"/>
        <w:rPr>
          <w:sz w:val="44"/>
          <w:szCs w:val="44"/>
        </w:rPr>
      </w:pPr>
      <w:r>
        <w:rPr>
          <w:sz w:val="44"/>
          <w:szCs w:val="44"/>
        </w:rPr>
        <w:t>Software Architecture and Design Specification</w:t>
      </w:r>
    </w:p>
    <w:p w14:paraId="0CA5F3AD" w14:textId="77777777" w:rsidR="001628B4" w:rsidRDefault="00000000">
      <w:pPr>
        <w:pStyle w:val="BodyText"/>
        <w:spacing w:after="200"/>
      </w:pPr>
      <w:r>
        <w:rPr>
          <w:rStyle w:val="Strong"/>
        </w:rPr>
        <w:t>Project:</w:t>
      </w:r>
      <w:r>
        <w:t xml:space="preserve"> Insurance Workflow Automation Software (IWAS)</w:t>
      </w:r>
      <w:r>
        <w:br/>
      </w:r>
      <w:r>
        <w:rPr>
          <w:rStyle w:val="Strong"/>
        </w:rPr>
        <w:t>Version:</w:t>
      </w:r>
      <w:r>
        <w:t xml:space="preserve"> 1.0</w:t>
      </w:r>
      <w:r>
        <w:br/>
      </w:r>
      <w:r>
        <w:rPr>
          <w:rStyle w:val="Strong"/>
        </w:rPr>
        <w:t xml:space="preserve">Authors: </w:t>
      </w:r>
      <w:proofErr w:type="spellStart"/>
      <w:r>
        <w:rPr>
          <w:rStyle w:val="Strong"/>
          <w:b w:val="0"/>
          <w:bCs w:val="0"/>
        </w:rPr>
        <w:t>Bitbees</w:t>
      </w:r>
      <w:proofErr w:type="spellEnd"/>
      <w:r>
        <w:br/>
      </w:r>
      <w:r>
        <w:rPr>
          <w:rStyle w:val="Strong"/>
        </w:rPr>
        <w:t>Date:</w:t>
      </w:r>
      <w:r>
        <w:t xml:space="preserve"> 05-10-2025</w:t>
      </w:r>
      <w:r>
        <w:br/>
      </w:r>
      <w:r>
        <w:rPr>
          <w:rStyle w:val="Strong"/>
        </w:rPr>
        <w:t>Status:</w:t>
      </w:r>
      <w:r>
        <w:t xml:space="preserve"> Draft</w:t>
      </w:r>
    </w:p>
    <w:p w14:paraId="44030A39" w14:textId="77777777" w:rsidR="002B2028" w:rsidRDefault="002B2028">
      <w:pPr>
        <w:pStyle w:val="BodyText"/>
        <w:spacing w:after="200"/>
      </w:pPr>
    </w:p>
    <w:p w14:paraId="730A3307" w14:textId="77777777" w:rsidR="001628B4" w:rsidRDefault="00000000">
      <w:pPr>
        <w:pStyle w:val="Heading2"/>
        <w:spacing w:before="0" w:after="200"/>
      </w:pPr>
      <w:r>
        <w:rPr>
          <w:rStyle w:val="Strong"/>
          <w:b/>
        </w:rPr>
        <w:t>1. Introduction</w:t>
      </w:r>
    </w:p>
    <w:p w14:paraId="6954994A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1.1 Purpose</w:t>
      </w:r>
    </w:p>
    <w:p w14:paraId="6D898E90" w14:textId="77777777" w:rsidR="001628B4" w:rsidRDefault="00000000">
      <w:pPr>
        <w:pStyle w:val="BodyText"/>
        <w:spacing w:after="200"/>
      </w:pPr>
      <w:r>
        <w:t xml:space="preserve">This document specifies the architecture and design of the </w:t>
      </w:r>
      <w:r>
        <w:rPr>
          <w:rStyle w:val="Strong"/>
        </w:rPr>
        <w:t>Insurance Workflow Automation Software (IWAS)</w:t>
      </w:r>
      <w:r>
        <w:t>. It details the system’s components, integration points, workflow orchestration, and interfaces, based on the SRS. It serves as a guide for developers, testers, and integrators implementing the solution.</w:t>
      </w:r>
    </w:p>
    <w:p w14:paraId="512F0C9E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1.2 Scope</w:t>
      </w:r>
    </w:p>
    <w:p w14:paraId="1503EF3B" w14:textId="77777777" w:rsidR="001628B4" w:rsidRDefault="00000000">
      <w:pPr>
        <w:pStyle w:val="BodyText"/>
        <w:spacing w:after="200"/>
      </w:pPr>
      <w:r>
        <w:t>IWAS automates end-to-end insurance business processes such as new policy issuance, underwriting, renewals, claims, billing, endorsements, and compliance reporting. It uses modular web components, workflow orchestration, and API-driven integration.</w:t>
      </w:r>
    </w:p>
    <w:p w14:paraId="52FD5824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1.3 Audience</w:t>
      </w:r>
    </w:p>
    <w:p w14:paraId="5C2B2F46" w14:textId="77777777" w:rsidR="001628B4" w:rsidRDefault="00000000">
      <w:pPr>
        <w:pStyle w:val="BodyText"/>
        <w:spacing w:after="200"/>
      </w:pPr>
      <w:r>
        <w:t>Developers, QA engineers, security auditors, instructors, project evaluators, and maintenance teams.</w:t>
      </w:r>
    </w:p>
    <w:p w14:paraId="7FC1743B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1.4 Definitions</w:t>
      </w:r>
    </w:p>
    <w:p w14:paraId="3B94F98A" w14:textId="77777777" w:rsidR="001628B4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IWAS:</w:t>
      </w:r>
      <w:r>
        <w:t xml:space="preserve"> Insurance Workflow Automation Software</w:t>
      </w:r>
    </w:p>
    <w:p w14:paraId="5D35F195" w14:textId="77777777" w:rsidR="001628B4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U/W:</w:t>
      </w:r>
      <w:r>
        <w:t xml:space="preserve"> Underwriting</w:t>
      </w:r>
    </w:p>
    <w:p w14:paraId="7981C1C9" w14:textId="77777777" w:rsidR="001628B4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STP:</w:t>
      </w:r>
      <w:r>
        <w:t xml:space="preserve"> Straight Through Processing</w:t>
      </w:r>
    </w:p>
    <w:p w14:paraId="01F42200" w14:textId="77777777" w:rsidR="001628B4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FNOL:</w:t>
      </w:r>
      <w:r>
        <w:t xml:space="preserve"> First Notice of Loss</w:t>
      </w:r>
    </w:p>
    <w:p w14:paraId="0DC915B9" w14:textId="77777777" w:rsidR="001628B4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DMS:</w:t>
      </w:r>
      <w:r>
        <w:t xml:space="preserve"> Document Management System</w:t>
      </w:r>
    </w:p>
    <w:p w14:paraId="765304C4" w14:textId="77777777" w:rsidR="001628B4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SLA:</w:t>
      </w:r>
      <w:r>
        <w:t xml:space="preserve"> Service Level Agreement</w:t>
      </w:r>
    </w:p>
    <w:p w14:paraId="69EACAA3" w14:textId="77777777" w:rsidR="001628B4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PII/PHI:</w:t>
      </w:r>
      <w:r>
        <w:t xml:space="preserve"> Personal/Health Identifiable Information</w:t>
      </w:r>
    </w:p>
    <w:p w14:paraId="39B7AC11" w14:textId="77777777" w:rsidR="001628B4" w:rsidRDefault="00000000">
      <w:pPr>
        <w:pStyle w:val="Heading2"/>
        <w:spacing w:before="0" w:after="200"/>
      </w:pPr>
      <w:r>
        <w:rPr>
          <w:rStyle w:val="Strong"/>
          <w:b/>
        </w:rPr>
        <w:t>2. Document Overview</w:t>
      </w:r>
    </w:p>
    <w:p w14:paraId="5650C8D6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2.1 How to use this document</w:t>
      </w:r>
    </w:p>
    <w:p w14:paraId="7435B093" w14:textId="77777777" w:rsidR="001628B4" w:rsidRDefault="00000000">
      <w:pPr>
        <w:pStyle w:val="BodyText"/>
        <w:spacing w:after="200" w:line="240" w:lineRule="auto"/>
      </w:pPr>
      <w:r>
        <w:t>This document provides:</w:t>
      </w:r>
    </w:p>
    <w:p w14:paraId="4AC3FAC0" w14:textId="77777777" w:rsidR="001628B4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200" w:line="240" w:lineRule="auto"/>
      </w:pPr>
      <w:r>
        <w:t>Architectural components and relationships</w:t>
      </w:r>
    </w:p>
    <w:p w14:paraId="5B77819F" w14:textId="77777777" w:rsidR="001628B4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200" w:line="240" w:lineRule="auto"/>
      </w:pPr>
      <w:r>
        <w:lastRenderedPageBreak/>
        <w:t>UML component and sequence diagrams</w:t>
      </w:r>
    </w:p>
    <w:p w14:paraId="12B4A3DB" w14:textId="77777777" w:rsidR="001628B4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200" w:line="240" w:lineRule="auto"/>
      </w:pPr>
      <w:r>
        <w:t>Technology stack and deployment overview</w:t>
      </w:r>
    </w:p>
    <w:p w14:paraId="36FEBC09" w14:textId="77777777" w:rsidR="001628B4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200" w:line="240" w:lineRule="auto"/>
      </w:pPr>
      <w:r>
        <w:t>Security model and traceability</w:t>
      </w:r>
    </w:p>
    <w:p w14:paraId="658076F0" w14:textId="77777777" w:rsidR="001628B4" w:rsidRDefault="00000000">
      <w:pPr>
        <w:pStyle w:val="Heading3"/>
        <w:spacing w:before="0" w:after="200" w:line="240" w:lineRule="auto"/>
      </w:pPr>
      <w:r>
        <w:rPr>
          <w:rStyle w:val="Strong"/>
          <w:b/>
        </w:rPr>
        <w:t>2.2 Related Documents</w:t>
      </w:r>
    </w:p>
    <w:p w14:paraId="0C5FD4F2" w14:textId="77777777" w:rsidR="001628B4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200" w:line="240" w:lineRule="auto"/>
      </w:pPr>
      <w:r>
        <w:t>Software Requirements Specification (SRS)</w:t>
      </w:r>
    </w:p>
    <w:p w14:paraId="5378EFC6" w14:textId="77777777" w:rsidR="001628B4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200" w:line="240" w:lineRule="auto"/>
      </w:pPr>
      <w:r>
        <w:t>System Test Plan (STP)</w:t>
      </w:r>
    </w:p>
    <w:p w14:paraId="6193710B" w14:textId="77777777" w:rsidR="001628B4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200" w:line="240" w:lineRule="auto"/>
      </w:pPr>
      <w:r>
        <w:t>Requirements Traceability Matrix (RTM)</w:t>
      </w:r>
    </w:p>
    <w:p w14:paraId="6027B51F" w14:textId="77777777" w:rsidR="001628B4" w:rsidRDefault="00000000">
      <w:pPr>
        <w:pStyle w:val="Heading2"/>
        <w:spacing w:before="0" w:after="200"/>
      </w:pPr>
      <w:r>
        <w:rPr>
          <w:rStyle w:val="Strong"/>
          <w:b/>
        </w:rPr>
        <w:t>3. Architecture</w:t>
      </w:r>
    </w:p>
    <w:p w14:paraId="6E5C6137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3.1 Goals &amp; Constraints</w:t>
      </w:r>
    </w:p>
    <w:p w14:paraId="690A7DF4" w14:textId="77777777" w:rsidR="001628B4" w:rsidRDefault="00000000">
      <w:pPr>
        <w:pStyle w:val="BodyText"/>
        <w:spacing w:after="200" w:line="240" w:lineRule="auto"/>
      </w:pPr>
      <w:r>
        <w:rPr>
          <w:rStyle w:val="Strong"/>
        </w:rPr>
        <w:t>Goals:</w:t>
      </w:r>
    </w:p>
    <w:p w14:paraId="528EE6F6" w14:textId="77777777" w:rsidR="001628B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00" w:line="240" w:lineRule="auto"/>
      </w:pPr>
      <w:r>
        <w:t>Automate policy and claims workflows end-to-end</w:t>
      </w:r>
    </w:p>
    <w:p w14:paraId="4F3F45BB" w14:textId="77777777" w:rsidR="001628B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00" w:line="240" w:lineRule="auto"/>
      </w:pPr>
      <w:r>
        <w:t>Provide scalable and modular architecture</w:t>
      </w:r>
    </w:p>
    <w:p w14:paraId="4962F305" w14:textId="77777777" w:rsidR="001628B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00" w:line="240" w:lineRule="auto"/>
      </w:pPr>
      <w:r>
        <w:t>Maintain high availability (≥99.9%)</w:t>
      </w:r>
    </w:p>
    <w:p w14:paraId="7411E9B8" w14:textId="77777777" w:rsidR="001628B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200" w:line="240" w:lineRule="auto"/>
      </w:pPr>
      <w:r>
        <w:t>Support secure data management (encryption, RBAC, GDPR/IRDAI compliance)</w:t>
      </w:r>
    </w:p>
    <w:p w14:paraId="6E402F0D" w14:textId="77777777" w:rsidR="001628B4" w:rsidRDefault="00000000">
      <w:pPr>
        <w:pStyle w:val="BodyText"/>
        <w:spacing w:after="200" w:line="240" w:lineRule="auto"/>
      </w:pPr>
      <w:r>
        <w:rPr>
          <w:rStyle w:val="Strong"/>
        </w:rPr>
        <w:t>Constraints:</w:t>
      </w:r>
    </w:p>
    <w:p w14:paraId="2F5A05A0" w14:textId="77777777" w:rsidR="001628B4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00" w:line="240" w:lineRule="auto"/>
      </w:pPr>
      <w:r>
        <w:t>Integration with legacy systems (PAS, CRM, DMS)</w:t>
      </w:r>
    </w:p>
    <w:p w14:paraId="2B96A75D" w14:textId="77777777" w:rsidR="001628B4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00" w:line="240" w:lineRule="auto"/>
      </w:pPr>
      <w:r>
        <w:t>Regulatory retention and audit logging</w:t>
      </w:r>
    </w:p>
    <w:p w14:paraId="4D9F6543" w14:textId="77777777" w:rsidR="001628B4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00" w:line="240" w:lineRule="auto"/>
      </w:pPr>
      <w:r>
        <w:t>Zero-downtime deployment</w:t>
      </w:r>
    </w:p>
    <w:p w14:paraId="561E72E9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3.2 Stakeholders &amp; Concerns</w:t>
      </w:r>
    </w:p>
    <w:tbl>
      <w:tblPr>
        <w:tblW w:w="8052" w:type="dxa"/>
        <w:tblLayout w:type="fixed"/>
        <w:tblCellMar>
          <w:left w:w="0" w:type="dxa"/>
          <w:right w:w="283" w:type="dxa"/>
        </w:tblCellMar>
        <w:tblLook w:val="04A0" w:firstRow="1" w:lastRow="0" w:firstColumn="1" w:lastColumn="0" w:noHBand="0" w:noVBand="1"/>
      </w:tblPr>
      <w:tblGrid>
        <w:gridCol w:w="3225"/>
        <w:gridCol w:w="4827"/>
      </w:tblGrid>
      <w:tr w:rsidR="001628B4" w14:paraId="3E7CD94F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2A6099"/>
          </w:tcPr>
          <w:p w14:paraId="692B4928" w14:textId="77777777" w:rsidR="001628B4" w:rsidRDefault="00000000">
            <w:pPr>
              <w:pStyle w:val="TableHeading"/>
            </w:pPr>
            <w:r>
              <w:t>Stakeholder</w:t>
            </w:r>
          </w:p>
        </w:tc>
        <w:tc>
          <w:tcPr>
            <w:tcW w:w="4827" w:type="dxa"/>
            <w:shd w:val="clear" w:color="auto" w:fill="2A6099"/>
            <w:vAlign w:val="bottom"/>
          </w:tcPr>
          <w:p w14:paraId="3CA26EAE" w14:textId="77777777" w:rsidR="001628B4" w:rsidRDefault="00000000">
            <w:pPr>
              <w:pStyle w:val="TableHeading"/>
              <w:rPr>
                <w:rFonts w:ascii="Liberation Serif" w:hAnsi="Liberation Serif"/>
                <w:color w:val="FFFFFF"/>
                <w:sz w:val="24"/>
                <w:szCs w:val="24"/>
              </w:rPr>
            </w:pPr>
            <w:r>
              <w:rPr>
                <w:rFonts w:ascii="Liberation Serif" w:hAnsi="Liberation Serif"/>
                <w:color w:val="FFFFFF"/>
                <w:sz w:val="24"/>
                <w:szCs w:val="24"/>
              </w:rPr>
              <w:t>Concern</w:t>
            </w:r>
          </w:p>
        </w:tc>
      </w:tr>
      <w:tr w:rsidR="001628B4" w14:paraId="32F6187F" w14:textId="77777777">
        <w:tc>
          <w:tcPr>
            <w:tcW w:w="3225" w:type="dxa"/>
            <w:vAlign w:val="center"/>
          </w:tcPr>
          <w:p w14:paraId="56A98C35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Customers</w:t>
            </w:r>
          </w:p>
        </w:tc>
        <w:tc>
          <w:tcPr>
            <w:tcW w:w="4827" w:type="dxa"/>
            <w:vAlign w:val="center"/>
          </w:tcPr>
          <w:p w14:paraId="4174A54B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Simplicity, transparency, and timely notifications</w:t>
            </w:r>
          </w:p>
        </w:tc>
      </w:tr>
      <w:tr w:rsidR="001628B4" w14:paraId="0FB73070" w14:textId="77777777">
        <w:tc>
          <w:tcPr>
            <w:tcW w:w="32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6168958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Agents/Brokers</w:t>
            </w:r>
          </w:p>
        </w:tc>
        <w:tc>
          <w:tcPr>
            <w:tcW w:w="48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99FBA34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Workflow efficiency, commission tracking</w:t>
            </w:r>
          </w:p>
        </w:tc>
      </w:tr>
      <w:tr w:rsidR="001628B4" w14:paraId="129A143A" w14:textId="77777777">
        <w:tc>
          <w:tcPr>
            <w:tcW w:w="3225" w:type="dxa"/>
            <w:vAlign w:val="center"/>
          </w:tcPr>
          <w:p w14:paraId="01CA0079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Underwriters/Claims Adjusters</w:t>
            </w:r>
          </w:p>
        </w:tc>
        <w:tc>
          <w:tcPr>
            <w:tcW w:w="4827" w:type="dxa"/>
            <w:vAlign w:val="center"/>
          </w:tcPr>
          <w:p w14:paraId="3D80D5E2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Rule-based task assignment and SLA monitoring</w:t>
            </w:r>
          </w:p>
        </w:tc>
      </w:tr>
      <w:tr w:rsidR="001628B4" w14:paraId="5FF83FF7" w14:textId="77777777">
        <w:tc>
          <w:tcPr>
            <w:tcW w:w="3225" w:type="dxa"/>
            <w:shd w:val="clear" w:color="auto" w:fill="FFFFFF"/>
            <w:vAlign w:val="center"/>
          </w:tcPr>
          <w:p w14:paraId="3C06A660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Managers</w:t>
            </w:r>
          </w:p>
        </w:tc>
        <w:tc>
          <w:tcPr>
            <w:tcW w:w="4827" w:type="dxa"/>
            <w:shd w:val="clear" w:color="auto" w:fill="FFFFFF"/>
            <w:vAlign w:val="center"/>
          </w:tcPr>
          <w:p w14:paraId="66297848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Reporting, audit trails, workload visibility</w:t>
            </w:r>
          </w:p>
        </w:tc>
      </w:tr>
      <w:tr w:rsidR="001628B4" w14:paraId="3ADF3A54" w14:textId="77777777">
        <w:tc>
          <w:tcPr>
            <w:tcW w:w="3225" w:type="dxa"/>
            <w:vAlign w:val="center"/>
          </w:tcPr>
          <w:p w14:paraId="51BAD074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System Admins</w:t>
            </w:r>
          </w:p>
        </w:tc>
        <w:tc>
          <w:tcPr>
            <w:tcW w:w="4827" w:type="dxa"/>
            <w:vAlign w:val="center"/>
          </w:tcPr>
          <w:p w14:paraId="06DBD74C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Integration, configuration, access control</w:t>
            </w:r>
          </w:p>
        </w:tc>
      </w:tr>
      <w:tr w:rsidR="001628B4" w14:paraId="1696DC56" w14:textId="77777777">
        <w:tc>
          <w:tcPr>
            <w:tcW w:w="3225" w:type="dxa"/>
            <w:tcBorders>
              <w:bottom w:val="single" w:sz="6" w:space="0" w:color="000000"/>
            </w:tcBorders>
            <w:vAlign w:val="center"/>
          </w:tcPr>
          <w:p w14:paraId="20CD7971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Regulators</w:t>
            </w:r>
          </w:p>
        </w:tc>
        <w:tc>
          <w:tcPr>
            <w:tcW w:w="4827" w:type="dxa"/>
            <w:tcBorders>
              <w:bottom w:val="single" w:sz="6" w:space="0" w:color="000000"/>
            </w:tcBorders>
            <w:vAlign w:val="center"/>
          </w:tcPr>
          <w:p w14:paraId="05B89E20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Compliance and data retention</w:t>
            </w:r>
          </w:p>
        </w:tc>
      </w:tr>
    </w:tbl>
    <w:p w14:paraId="348F9740" w14:textId="77777777" w:rsidR="001628B4" w:rsidRDefault="00000000">
      <w:pPr>
        <w:pStyle w:val="Heading3"/>
        <w:spacing w:before="0" w:after="200"/>
        <w:rPr>
          <w:rStyle w:val="Strong"/>
          <w:b/>
        </w:rPr>
      </w:pPr>
      <w:r>
        <w:rPr>
          <w:rStyle w:val="Strong"/>
          <w:b/>
        </w:rPr>
        <w:t>3.3 Component (UML) Diagram</w:t>
      </w:r>
    </w:p>
    <w:p w14:paraId="03AA3B16" w14:textId="77777777" w:rsidR="00DD09EC" w:rsidRPr="00DD09EC" w:rsidRDefault="00DD09EC" w:rsidP="00DD09EC"/>
    <w:p w14:paraId="34A95D63" w14:textId="77777777" w:rsidR="001628B4" w:rsidRDefault="00DD09EC">
      <w:pPr>
        <w:pStyle w:val="Heading3"/>
        <w:spacing w:before="0" w:after="200"/>
        <w:rPr>
          <w:rStyle w:val="Emphasis"/>
        </w:rPr>
      </w:pPr>
      <w:r w:rsidRPr="00DD09EC">
        <w:rPr>
          <w:rStyle w:val="Emphasis"/>
        </w:rPr>
        <w:lastRenderedPageBreak/>
        <w:drawing>
          <wp:inline distT="0" distB="0" distL="0" distR="0" wp14:anchorId="4EE7711F" wp14:editId="1FEB8E80">
            <wp:extent cx="5274310" cy="3235325"/>
            <wp:effectExtent l="0" t="0" r="2540" b="3175"/>
            <wp:docPr id="16274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9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60C0" w14:textId="77777777" w:rsidR="001628B4" w:rsidRDefault="001628B4">
      <w:pPr>
        <w:pStyle w:val="Heading3"/>
        <w:spacing w:before="0" w:after="200"/>
        <w:rPr>
          <w:rStyle w:val="Emphasis"/>
        </w:rPr>
      </w:pPr>
    </w:p>
    <w:p w14:paraId="523C9205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Diagram:</w:t>
      </w:r>
      <w:r>
        <w:t xml:space="preserve"> </w:t>
      </w:r>
      <w:r>
        <w:rPr>
          <w:rStyle w:val="Emphasis"/>
        </w:rPr>
        <w:t>Insurance Workflow Management System – Component Diagram</w:t>
      </w:r>
    </w:p>
    <w:p w14:paraId="78BAB5B6" w14:textId="77777777" w:rsidR="001628B4" w:rsidRDefault="00000000">
      <w:pPr>
        <w:pStyle w:val="BodyText"/>
        <w:spacing w:after="200" w:line="240" w:lineRule="auto"/>
      </w:pPr>
      <w:r>
        <w:rPr>
          <w:rStyle w:val="Strong"/>
        </w:rPr>
        <w:t>Main Layers:</w:t>
      </w:r>
    </w:p>
    <w:p w14:paraId="2DD9F689" w14:textId="77777777" w:rsidR="001628B4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User Interfaces (UI Layer):</w:t>
      </w:r>
    </w:p>
    <w:p w14:paraId="1DD3C382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Customer Portal</w:t>
      </w:r>
    </w:p>
    <w:p w14:paraId="60000E9E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Agent Portal</w:t>
      </w:r>
    </w:p>
    <w:p w14:paraId="7D3DACAB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Underwriter Workbench</w:t>
      </w:r>
    </w:p>
    <w:p w14:paraId="42162431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Claims Adjuster Portal</w:t>
      </w:r>
    </w:p>
    <w:p w14:paraId="6677403E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Manager Dashboard</w:t>
      </w:r>
    </w:p>
    <w:p w14:paraId="07E87F91" w14:textId="77777777" w:rsidR="001628B4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Orchestration Layer:</w:t>
      </w:r>
    </w:p>
    <w:p w14:paraId="7D728682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Workflow Orchestration Engine</w:t>
      </w:r>
    </w:p>
    <w:p w14:paraId="2D9F2935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Business Rules Engine</w:t>
      </w:r>
    </w:p>
    <w:p w14:paraId="4DFC9305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Process Engine</w:t>
      </w:r>
    </w:p>
    <w:p w14:paraId="6DA10C91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Event Handler</w:t>
      </w:r>
    </w:p>
    <w:p w14:paraId="566C0A24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Workflow Repository</w:t>
      </w:r>
    </w:p>
    <w:p w14:paraId="09CDDD79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Queue Manager</w:t>
      </w:r>
    </w:p>
    <w:p w14:paraId="39B62EFE" w14:textId="77777777" w:rsidR="001628B4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Workflow Components:</w:t>
      </w:r>
    </w:p>
    <w:p w14:paraId="1D359D6B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Policy Lifecycle Automation</w:t>
      </w:r>
    </w:p>
    <w:p w14:paraId="2CE4CEDD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Claims Workflow Automation</w:t>
      </w:r>
    </w:p>
    <w:p w14:paraId="60E0C894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Task Automation &amp; Escalation</w:t>
      </w:r>
    </w:p>
    <w:p w14:paraId="2A7BBCDE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lastRenderedPageBreak/>
        <w:t>Communication &amp; Notifications</w:t>
      </w:r>
    </w:p>
    <w:p w14:paraId="68096816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Reporting &amp; Compliance</w:t>
      </w:r>
    </w:p>
    <w:p w14:paraId="4BEB1338" w14:textId="77777777" w:rsidR="001628B4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Infrastructure Layer:</w:t>
      </w:r>
    </w:p>
    <w:p w14:paraId="144D3585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Workflow Database</w:t>
      </w:r>
    </w:p>
    <w:p w14:paraId="710AF18D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Integration Layer (API Gateway, Message Queue)</w:t>
      </w:r>
    </w:p>
    <w:p w14:paraId="4BE19DF1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Security &amp; Data Management</w:t>
      </w:r>
    </w:p>
    <w:p w14:paraId="2974F9CC" w14:textId="77777777" w:rsidR="001628B4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200" w:line="240" w:lineRule="auto"/>
      </w:pPr>
      <w:r>
        <w:rPr>
          <w:rStyle w:val="Strong"/>
        </w:rPr>
        <w:t>External Systems:</w:t>
      </w:r>
    </w:p>
    <w:p w14:paraId="079FD962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Payment Gateway</w:t>
      </w:r>
    </w:p>
    <w:p w14:paraId="1A634904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CRM</w:t>
      </w:r>
    </w:p>
    <w:p w14:paraId="6DF4CBB5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Fraud Detection</w:t>
      </w:r>
    </w:p>
    <w:p w14:paraId="6337D3DD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Email/SMS Providers</w:t>
      </w:r>
    </w:p>
    <w:p w14:paraId="6FC7C1E3" w14:textId="77777777" w:rsidR="001628B4" w:rsidRDefault="00000000">
      <w:pPr>
        <w:pStyle w:val="BodyText"/>
        <w:numPr>
          <w:ilvl w:val="1"/>
          <w:numId w:val="6"/>
        </w:numPr>
        <w:tabs>
          <w:tab w:val="left" w:pos="0"/>
        </w:tabs>
        <w:spacing w:after="200" w:line="240" w:lineRule="auto"/>
      </w:pPr>
      <w:r>
        <w:t>Regulatory Systems</w:t>
      </w:r>
    </w:p>
    <w:p w14:paraId="328B0A6B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3.4 Component Descriptions</w:t>
      </w:r>
    </w:p>
    <w:tbl>
      <w:tblPr>
        <w:tblW w:w="8306" w:type="dxa"/>
        <w:tblLayout w:type="fixed"/>
        <w:tblCellMar>
          <w:left w:w="0" w:type="dxa"/>
          <w:right w:w="283" w:type="dxa"/>
        </w:tblCellMar>
        <w:tblLook w:val="04A0" w:firstRow="1" w:lastRow="0" w:firstColumn="1" w:lastColumn="0" w:noHBand="0" w:noVBand="1"/>
      </w:tblPr>
      <w:tblGrid>
        <w:gridCol w:w="2832"/>
        <w:gridCol w:w="5474"/>
      </w:tblGrid>
      <w:tr w:rsidR="001628B4" w14:paraId="79B7AA9F" w14:textId="77777777">
        <w:tc>
          <w:tcPr>
            <w:tcW w:w="2832" w:type="dxa"/>
            <w:shd w:val="clear" w:color="auto" w:fill="2A6099"/>
            <w:vAlign w:val="center"/>
          </w:tcPr>
          <w:p w14:paraId="1B1B750D" w14:textId="77777777" w:rsidR="001628B4" w:rsidRDefault="00000000">
            <w:pPr>
              <w:pStyle w:val="TableHeading"/>
              <w:jc w:val="left"/>
              <w:rPr>
                <w:rFonts w:ascii="Liberation Serif" w:hAnsi="Liberation Serif"/>
                <w:color w:val="FFFFFF"/>
                <w:sz w:val="24"/>
                <w:szCs w:val="24"/>
              </w:rPr>
            </w:pPr>
            <w:r>
              <w:rPr>
                <w:rFonts w:ascii="Liberation Serif" w:hAnsi="Liberation Serif"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5474" w:type="dxa"/>
            <w:shd w:val="clear" w:color="auto" w:fill="2A6099"/>
            <w:vAlign w:val="center"/>
          </w:tcPr>
          <w:p w14:paraId="076646D2" w14:textId="77777777" w:rsidR="001628B4" w:rsidRDefault="00000000">
            <w:pPr>
              <w:pStyle w:val="TableHeading"/>
              <w:jc w:val="left"/>
              <w:rPr>
                <w:rFonts w:ascii="Liberation Serif" w:hAnsi="Liberation Serif"/>
                <w:color w:val="FFFFFF"/>
                <w:sz w:val="24"/>
                <w:szCs w:val="24"/>
              </w:rPr>
            </w:pPr>
            <w:r>
              <w:rPr>
                <w:rFonts w:ascii="Liberation Serif" w:hAnsi="Liberation Serif"/>
                <w:color w:val="FFFFFF"/>
                <w:sz w:val="24"/>
                <w:szCs w:val="24"/>
              </w:rPr>
              <w:t>Description</w:t>
            </w:r>
          </w:p>
        </w:tc>
      </w:tr>
      <w:tr w:rsidR="001628B4" w14:paraId="7985B9EB" w14:textId="77777777">
        <w:tc>
          <w:tcPr>
            <w:tcW w:w="2832" w:type="dxa"/>
            <w:vAlign w:val="center"/>
          </w:tcPr>
          <w:p w14:paraId="161988C8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User Interfaces</w:t>
            </w:r>
          </w:p>
        </w:tc>
        <w:tc>
          <w:tcPr>
            <w:tcW w:w="5474" w:type="dxa"/>
            <w:vAlign w:val="center"/>
          </w:tcPr>
          <w:p w14:paraId="6CA10D3C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Provides portals and dashboards for role-specific access.</w:t>
            </w:r>
          </w:p>
        </w:tc>
      </w:tr>
      <w:tr w:rsidR="001628B4" w14:paraId="5EF1BA29" w14:textId="77777777">
        <w:tc>
          <w:tcPr>
            <w:tcW w:w="2832" w:type="dxa"/>
            <w:shd w:val="clear" w:color="auto" w:fill="CCCCCC"/>
            <w:vAlign w:val="center"/>
          </w:tcPr>
          <w:p w14:paraId="1A3A67C8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Workflow Orchestration Engine</w:t>
            </w:r>
          </w:p>
        </w:tc>
        <w:tc>
          <w:tcPr>
            <w:tcW w:w="5474" w:type="dxa"/>
            <w:shd w:val="clear" w:color="auto" w:fill="CCCCCC"/>
            <w:vAlign w:val="center"/>
          </w:tcPr>
          <w:p w14:paraId="4DAC1D6D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Central control unit coordinating workflow execution and task routing.</w:t>
            </w:r>
          </w:p>
        </w:tc>
      </w:tr>
      <w:tr w:rsidR="001628B4" w14:paraId="19288A74" w14:textId="77777777">
        <w:tc>
          <w:tcPr>
            <w:tcW w:w="2832" w:type="dxa"/>
            <w:vAlign w:val="center"/>
          </w:tcPr>
          <w:p w14:paraId="7A7F8F62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Business Rules Engine</w:t>
            </w:r>
          </w:p>
        </w:tc>
        <w:tc>
          <w:tcPr>
            <w:tcW w:w="5474" w:type="dxa"/>
            <w:vAlign w:val="center"/>
          </w:tcPr>
          <w:p w14:paraId="0AAC904D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Evaluates decision tables, approval logic, and validations for automation.</w:t>
            </w:r>
          </w:p>
        </w:tc>
      </w:tr>
      <w:tr w:rsidR="001628B4" w14:paraId="78564EBC" w14:textId="77777777">
        <w:tc>
          <w:tcPr>
            <w:tcW w:w="2832" w:type="dxa"/>
            <w:shd w:val="clear" w:color="auto" w:fill="CCCCCC"/>
            <w:vAlign w:val="center"/>
          </w:tcPr>
          <w:p w14:paraId="43544B9F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Process Engine</w:t>
            </w:r>
          </w:p>
        </w:tc>
        <w:tc>
          <w:tcPr>
            <w:tcW w:w="5474" w:type="dxa"/>
            <w:shd w:val="clear" w:color="auto" w:fill="CCCCCC"/>
            <w:vAlign w:val="center"/>
          </w:tcPr>
          <w:p w14:paraId="13E5F78B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Manages workflow instances, versioning, and state transitions.</w:t>
            </w:r>
          </w:p>
        </w:tc>
      </w:tr>
      <w:tr w:rsidR="001628B4" w14:paraId="793A222A" w14:textId="77777777">
        <w:tc>
          <w:tcPr>
            <w:tcW w:w="2832" w:type="dxa"/>
            <w:vAlign w:val="center"/>
          </w:tcPr>
          <w:p w14:paraId="221767D4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Queue Manager</w:t>
            </w:r>
          </w:p>
        </w:tc>
        <w:tc>
          <w:tcPr>
            <w:tcW w:w="5474" w:type="dxa"/>
            <w:vAlign w:val="center"/>
          </w:tcPr>
          <w:p w14:paraId="76F6E849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Handles task queuing, </w:t>
            </w:r>
            <w:proofErr w:type="gramStart"/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load</w:t>
            </w:r>
            <w:proofErr w:type="gramEnd"/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> balancing, and retries for failed workflows.</w:t>
            </w:r>
          </w:p>
        </w:tc>
      </w:tr>
      <w:tr w:rsidR="001628B4" w14:paraId="18F145D6" w14:textId="77777777">
        <w:tc>
          <w:tcPr>
            <w:tcW w:w="2832" w:type="dxa"/>
            <w:shd w:val="clear" w:color="auto" w:fill="CCCCCC"/>
            <w:vAlign w:val="center"/>
          </w:tcPr>
          <w:p w14:paraId="463DA9F5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Workflow Repository</w:t>
            </w:r>
          </w:p>
        </w:tc>
        <w:tc>
          <w:tcPr>
            <w:tcW w:w="5474" w:type="dxa"/>
            <w:shd w:val="clear" w:color="auto" w:fill="CCCCCC"/>
            <w:vAlign w:val="center"/>
          </w:tcPr>
          <w:p w14:paraId="46ADE9DB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Stores workflow definitions, process templates, and version history.</w:t>
            </w:r>
          </w:p>
        </w:tc>
      </w:tr>
      <w:tr w:rsidR="001628B4" w14:paraId="14BD5101" w14:textId="77777777">
        <w:tc>
          <w:tcPr>
            <w:tcW w:w="2832" w:type="dxa"/>
            <w:vAlign w:val="center"/>
          </w:tcPr>
          <w:p w14:paraId="7B10DCF5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Workflow Database</w:t>
            </w:r>
          </w:p>
        </w:tc>
        <w:tc>
          <w:tcPr>
            <w:tcW w:w="5474" w:type="dxa"/>
            <w:vAlign w:val="center"/>
          </w:tcPr>
          <w:p w14:paraId="50F9A860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Central data store for policies, claims, tasks, and audit logs.</w:t>
            </w:r>
          </w:p>
        </w:tc>
      </w:tr>
      <w:tr w:rsidR="001628B4" w14:paraId="6F46EC6D" w14:textId="77777777">
        <w:tc>
          <w:tcPr>
            <w:tcW w:w="2832" w:type="dxa"/>
            <w:shd w:val="clear" w:color="auto" w:fill="CCCCCC"/>
            <w:vAlign w:val="center"/>
          </w:tcPr>
          <w:p w14:paraId="3DD95CF1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Integration Layer</w:t>
            </w:r>
          </w:p>
        </w:tc>
        <w:tc>
          <w:tcPr>
            <w:tcW w:w="5474" w:type="dxa"/>
            <w:shd w:val="clear" w:color="auto" w:fill="CCCCCC"/>
            <w:vAlign w:val="center"/>
          </w:tcPr>
          <w:p w14:paraId="56CF71A0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Facilitates communication with external APIs (payments, CRM, DMS).</w:t>
            </w:r>
          </w:p>
        </w:tc>
      </w:tr>
      <w:tr w:rsidR="001628B4" w14:paraId="5A846751" w14:textId="77777777">
        <w:tc>
          <w:tcPr>
            <w:tcW w:w="2832" w:type="dxa"/>
            <w:tcBorders>
              <w:bottom w:val="single" w:sz="6" w:space="0" w:color="000000"/>
            </w:tcBorders>
            <w:vAlign w:val="center"/>
          </w:tcPr>
          <w:p w14:paraId="0EE9019E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Security &amp; Data Management</w:t>
            </w:r>
          </w:p>
        </w:tc>
        <w:tc>
          <w:tcPr>
            <w:tcW w:w="5474" w:type="dxa"/>
            <w:tcBorders>
              <w:bottom w:val="single" w:sz="6" w:space="0" w:color="000000"/>
            </w:tcBorders>
            <w:vAlign w:val="center"/>
          </w:tcPr>
          <w:p w14:paraId="1BEFD328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Manages authentication, authorization, encryption, and compliance.</w:t>
            </w:r>
          </w:p>
        </w:tc>
      </w:tr>
    </w:tbl>
    <w:p w14:paraId="567BEA8F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lastRenderedPageBreak/>
        <w:t>3.5 Chosen Architecture Pattern and Rationale</w:t>
      </w:r>
    </w:p>
    <w:p w14:paraId="6AE25F5E" w14:textId="77777777" w:rsidR="001628B4" w:rsidRDefault="00000000">
      <w:pPr>
        <w:pStyle w:val="BodyText"/>
        <w:spacing w:after="200"/>
      </w:pPr>
      <w:r>
        <w:t xml:space="preserve">A </w:t>
      </w:r>
      <w:r>
        <w:rPr>
          <w:rStyle w:val="Strong"/>
        </w:rPr>
        <w:t>modular layered architecture</w:t>
      </w:r>
      <w:r>
        <w:t xml:space="preserve"> with an </w:t>
      </w:r>
      <w:r>
        <w:rPr>
          <w:rStyle w:val="Strong"/>
        </w:rPr>
        <w:t>API-first orchestration core</w:t>
      </w:r>
      <w:r>
        <w:t xml:space="preserve"> is chosen to separate user interfaces, business rules, workflow automation, and infrastructure concerns.</w:t>
      </w:r>
    </w:p>
    <w:p w14:paraId="097176D0" w14:textId="77777777" w:rsidR="001628B4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Advantages:</w:t>
      </w:r>
      <w:r>
        <w:t xml:space="preserve"> Maintainability, scalability, and easy integration.</w:t>
      </w:r>
    </w:p>
    <w:p w14:paraId="60E7BF22" w14:textId="77777777" w:rsidR="001628B4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Rejected:</w:t>
      </w:r>
      <w:r>
        <w:t xml:space="preserve"> Monolithic or microservice over-fragmentation, which adds unnecessary complexity for the project scale.</w:t>
      </w:r>
    </w:p>
    <w:p w14:paraId="4E81F0AA" w14:textId="77777777" w:rsidR="001628B4" w:rsidRDefault="00000000">
      <w:pPr>
        <w:pStyle w:val="Heading3"/>
        <w:spacing w:before="0" w:after="200"/>
        <w:rPr>
          <w:rStyle w:val="Strong"/>
          <w:b/>
        </w:rPr>
      </w:pPr>
      <w:r>
        <w:rPr>
          <w:rStyle w:val="Strong"/>
          <w:b/>
        </w:rPr>
        <w:t>3.6 Technology Stack &amp; Data Stores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5949"/>
      </w:tblGrid>
      <w:tr w:rsidR="002B2028" w:rsidRPr="00AF6E5E" w14:paraId="3DFF098C" w14:textId="77777777" w:rsidTr="00F01E68">
        <w:tc>
          <w:tcPr>
            <w:tcW w:w="0" w:type="auto"/>
            <w:hideMark/>
          </w:tcPr>
          <w:p w14:paraId="395EA41C" w14:textId="77777777" w:rsidR="002B2028" w:rsidRPr="00AF6E5E" w:rsidRDefault="002B2028" w:rsidP="00F01E68">
            <w:pPr>
              <w:spacing w:after="160" w:line="259" w:lineRule="auto"/>
              <w:rPr>
                <w:b/>
                <w:bCs/>
              </w:rPr>
            </w:pPr>
            <w:r w:rsidRPr="00AF6E5E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ECA9D3C" w14:textId="77777777" w:rsidR="002B2028" w:rsidRPr="00AF6E5E" w:rsidRDefault="002B2028" w:rsidP="00F01E68">
            <w:pPr>
              <w:spacing w:after="160" w:line="259" w:lineRule="auto"/>
              <w:rPr>
                <w:b/>
                <w:bCs/>
              </w:rPr>
            </w:pPr>
            <w:r w:rsidRPr="00AF6E5E">
              <w:rPr>
                <w:b/>
                <w:bCs/>
              </w:rPr>
              <w:t>Technology / Choice</w:t>
            </w:r>
          </w:p>
        </w:tc>
      </w:tr>
      <w:tr w:rsidR="002B2028" w:rsidRPr="00AF6E5E" w14:paraId="6D096F62" w14:textId="77777777" w:rsidTr="00F01E68">
        <w:tc>
          <w:tcPr>
            <w:tcW w:w="0" w:type="auto"/>
            <w:hideMark/>
          </w:tcPr>
          <w:p w14:paraId="7C1E1859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Backend</w:t>
            </w:r>
          </w:p>
        </w:tc>
        <w:tc>
          <w:tcPr>
            <w:tcW w:w="0" w:type="auto"/>
            <w:hideMark/>
          </w:tcPr>
          <w:p w14:paraId="2998FC07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Node.js (TypeScript) with Next.js API Routes / Express.js</w:t>
            </w:r>
          </w:p>
        </w:tc>
      </w:tr>
      <w:tr w:rsidR="002B2028" w:rsidRPr="00AF6E5E" w14:paraId="33983F25" w14:textId="77777777" w:rsidTr="00F01E68">
        <w:tc>
          <w:tcPr>
            <w:tcW w:w="0" w:type="auto"/>
            <w:hideMark/>
          </w:tcPr>
          <w:p w14:paraId="1E02F073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Frontend</w:t>
            </w:r>
          </w:p>
        </w:tc>
        <w:tc>
          <w:tcPr>
            <w:tcW w:w="0" w:type="auto"/>
            <w:hideMark/>
          </w:tcPr>
          <w:p w14:paraId="71CF2A57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React.js with Next.js (Responsive SPA/SSR web UI)</w:t>
            </w:r>
          </w:p>
        </w:tc>
      </w:tr>
      <w:tr w:rsidR="002B2028" w:rsidRPr="00AF6E5E" w14:paraId="3229504F" w14:textId="77777777" w:rsidTr="00F01E68">
        <w:tc>
          <w:tcPr>
            <w:tcW w:w="0" w:type="auto"/>
            <w:hideMark/>
          </w:tcPr>
          <w:p w14:paraId="72BB4BE0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Database</w:t>
            </w:r>
          </w:p>
        </w:tc>
        <w:tc>
          <w:tcPr>
            <w:tcW w:w="0" w:type="auto"/>
            <w:hideMark/>
          </w:tcPr>
          <w:p w14:paraId="165ABDA0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PostgreSQL (primary OLTP database)</w:t>
            </w:r>
          </w:p>
        </w:tc>
      </w:tr>
      <w:tr w:rsidR="002B2028" w:rsidRPr="00AF6E5E" w14:paraId="2087EBA7" w14:textId="77777777" w:rsidTr="00F01E68">
        <w:tc>
          <w:tcPr>
            <w:tcW w:w="0" w:type="auto"/>
            <w:hideMark/>
          </w:tcPr>
          <w:p w14:paraId="75FAAE7A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Caching</w:t>
            </w:r>
          </w:p>
        </w:tc>
        <w:tc>
          <w:tcPr>
            <w:tcW w:w="0" w:type="auto"/>
            <w:hideMark/>
          </w:tcPr>
          <w:p w14:paraId="2D047EF9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Redis (session caching, frequently accessed data)</w:t>
            </w:r>
          </w:p>
        </w:tc>
      </w:tr>
      <w:tr w:rsidR="002B2028" w:rsidRPr="00AF6E5E" w14:paraId="7EB8E082" w14:textId="77777777" w:rsidTr="00F01E68">
        <w:tc>
          <w:tcPr>
            <w:tcW w:w="0" w:type="auto"/>
            <w:hideMark/>
          </w:tcPr>
          <w:p w14:paraId="19682D4D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Workflow &amp; Messaging</w:t>
            </w:r>
          </w:p>
        </w:tc>
        <w:tc>
          <w:tcPr>
            <w:tcW w:w="0" w:type="auto"/>
            <w:hideMark/>
          </w:tcPr>
          <w:p w14:paraId="4C9EAF53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Apache Kafka / AWS SQS (async workflows, event-driven processing)</w:t>
            </w:r>
          </w:p>
        </w:tc>
      </w:tr>
      <w:tr w:rsidR="002B2028" w:rsidRPr="00AF6E5E" w14:paraId="64CF95F6" w14:textId="77777777" w:rsidTr="00F01E68">
        <w:tc>
          <w:tcPr>
            <w:tcW w:w="0" w:type="auto"/>
            <w:hideMark/>
          </w:tcPr>
          <w:p w14:paraId="1589E7DF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File / Object Storage</w:t>
            </w:r>
          </w:p>
        </w:tc>
        <w:tc>
          <w:tcPr>
            <w:tcW w:w="0" w:type="auto"/>
            <w:hideMark/>
          </w:tcPr>
          <w:p w14:paraId="6691073D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AWS S3 / Azure Blob Storage</w:t>
            </w:r>
          </w:p>
        </w:tc>
      </w:tr>
      <w:tr w:rsidR="002B2028" w:rsidRPr="00AF6E5E" w14:paraId="16D51BAE" w14:textId="77777777" w:rsidTr="00F01E68">
        <w:tc>
          <w:tcPr>
            <w:tcW w:w="0" w:type="auto"/>
            <w:hideMark/>
          </w:tcPr>
          <w:p w14:paraId="0AB8E04D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Authentication</w:t>
            </w:r>
          </w:p>
        </w:tc>
        <w:tc>
          <w:tcPr>
            <w:tcW w:w="0" w:type="auto"/>
            <w:hideMark/>
          </w:tcPr>
          <w:p w14:paraId="7181ACF5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OAuth 2.0 / OpenID Connect, JWT-based sessions, MFA support</w:t>
            </w:r>
          </w:p>
        </w:tc>
      </w:tr>
      <w:tr w:rsidR="002B2028" w:rsidRPr="00AF6E5E" w14:paraId="6BB3ADDB" w14:textId="77777777" w:rsidTr="00F01E68">
        <w:tc>
          <w:tcPr>
            <w:tcW w:w="0" w:type="auto"/>
            <w:hideMark/>
          </w:tcPr>
          <w:p w14:paraId="0893B29D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Authorization</w:t>
            </w:r>
          </w:p>
        </w:tc>
        <w:tc>
          <w:tcPr>
            <w:tcW w:w="0" w:type="auto"/>
            <w:hideMark/>
          </w:tcPr>
          <w:p w14:paraId="2537E0B1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Role-Based Access Control (RBAC) per user role</w:t>
            </w:r>
          </w:p>
        </w:tc>
      </w:tr>
      <w:tr w:rsidR="002B2028" w:rsidRPr="00AF6E5E" w14:paraId="47C16A92" w14:textId="77777777" w:rsidTr="00F01E68">
        <w:tc>
          <w:tcPr>
            <w:tcW w:w="0" w:type="auto"/>
            <w:hideMark/>
          </w:tcPr>
          <w:p w14:paraId="6721964E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Logging &amp; Monitoring</w:t>
            </w:r>
          </w:p>
        </w:tc>
        <w:tc>
          <w:tcPr>
            <w:tcW w:w="0" w:type="auto"/>
            <w:hideMark/>
          </w:tcPr>
          <w:p w14:paraId="0E900FF9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ELK / CloudWatch / Azure Monitor, Prometheus + Grafana dashboards</w:t>
            </w:r>
          </w:p>
        </w:tc>
      </w:tr>
      <w:tr w:rsidR="002B2028" w:rsidRPr="00AF6E5E" w14:paraId="7CAC94CF" w14:textId="77777777" w:rsidTr="00F01E68">
        <w:tc>
          <w:tcPr>
            <w:tcW w:w="0" w:type="auto"/>
            <w:hideMark/>
          </w:tcPr>
          <w:p w14:paraId="622235D5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Hosting &amp; Orchestration</w:t>
            </w:r>
          </w:p>
        </w:tc>
        <w:tc>
          <w:tcPr>
            <w:tcW w:w="0" w:type="auto"/>
            <w:hideMark/>
          </w:tcPr>
          <w:p w14:paraId="55782191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Kubernetes (Linux nodes), Docker containerized services</w:t>
            </w:r>
          </w:p>
        </w:tc>
      </w:tr>
      <w:tr w:rsidR="002B2028" w:rsidRPr="00AF6E5E" w14:paraId="482ABBD7" w14:textId="77777777" w:rsidTr="00F01E68">
        <w:tc>
          <w:tcPr>
            <w:tcW w:w="0" w:type="auto"/>
            <w:hideMark/>
          </w:tcPr>
          <w:p w14:paraId="03D5C0F0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CI/CD</w:t>
            </w:r>
          </w:p>
        </w:tc>
        <w:tc>
          <w:tcPr>
            <w:tcW w:w="0" w:type="auto"/>
            <w:hideMark/>
          </w:tcPr>
          <w:p w14:paraId="3A5774DB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GitHub Actions / GitLab CI / Azure DevOps pipelines</w:t>
            </w:r>
          </w:p>
        </w:tc>
      </w:tr>
    </w:tbl>
    <w:p w14:paraId="0510C4DB" w14:textId="77777777" w:rsidR="002B2028" w:rsidRPr="002B2028" w:rsidRDefault="002B2028" w:rsidP="002B2028"/>
    <w:p w14:paraId="584322F8" w14:textId="39094F37" w:rsidR="001628B4" w:rsidRDefault="00000000">
      <w:pPr>
        <w:pStyle w:val="Heading3"/>
        <w:spacing w:before="0" w:after="200"/>
      </w:pPr>
      <w:r>
        <w:rPr>
          <w:rStyle w:val="Strong"/>
          <w:b/>
        </w:rPr>
        <w:t>3.7 Risks &amp; Mitigations</w:t>
      </w:r>
    </w:p>
    <w:tbl>
      <w:tblPr>
        <w:tblW w:w="60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3"/>
        <w:gridCol w:w="3347"/>
      </w:tblGrid>
      <w:tr w:rsidR="001628B4" w14:paraId="24324C28" w14:textId="77777777">
        <w:tc>
          <w:tcPr>
            <w:tcW w:w="2743" w:type="dxa"/>
            <w:shd w:val="clear" w:color="auto" w:fill="2A6099"/>
            <w:vAlign w:val="center"/>
          </w:tcPr>
          <w:p w14:paraId="22A160EF" w14:textId="77777777" w:rsidR="001628B4" w:rsidRDefault="00000000">
            <w:pPr>
              <w:pStyle w:val="TableHeading"/>
              <w:jc w:val="left"/>
              <w:rPr>
                <w:rFonts w:ascii="Liberation Serif" w:hAnsi="Liberation Serif"/>
                <w:color w:val="FFFFFF"/>
                <w:sz w:val="24"/>
                <w:szCs w:val="24"/>
              </w:rPr>
            </w:pPr>
            <w:r>
              <w:rPr>
                <w:rFonts w:ascii="Liberation Serif" w:hAnsi="Liberation Serif"/>
                <w:color w:val="FFFFFF"/>
                <w:sz w:val="24"/>
                <w:szCs w:val="24"/>
              </w:rPr>
              <w:t>Risk</w:t>
            </w:r>
          </w:p>
        </w:tc>
        <w:tc>
          <w:tcPr>
            <w:tcW w:w="3347" w:type="dxa"/>
            <w:shd w:val="clear" w:color="auto" w:fill="2A6099"/>
            <w:vAlign w:val="center"/>
          </w:tcPr>
          <w:p w14:paraId="24106653" w14:textId="77777777" w:rsidR="001628B4" w:rsidRDefault="00000000">
            <w:pPr>
              <w:pStyle w:val="TableHeading"/>
              <w:jc w:val="left"/>
              <w:rPr>
                <w:rFonts w:ascii="Liberation Serif" w:hAnsi="Liberation Serif"/>
                <w:color w:val="FFFFFF"/>
                <w:sz w:val="24"/>
                <w:szCs w:val="24"/>
              </w:rPr>
            </w:pPr>
            <w:r>
              <w:rPr>
                <w:rFonts w:ascii="Liberation Serif" w:hAnsi="Liberation Serif"/>
                <w:color w:val="FFFFFF"/>
                <w:sz w:val="24"/>
                <w:szCs w:val="24"/>
              </w:rPr>
              <w:t>Mitigation</w:t>
            </w:r>
          </w:p>
        </w:tc>
      </w:tr>
      <w:tr w:rsidR="001628B4" w14:paraId="4527E386" w14:textId="77777777">
        <w:tc>
          <w:tcPr>
            <w:tcW w:w="2743" w:type="dxa"/>
            <w:vAlign w:val="center"/>
          </w:tcPr>
          <w:p w14:paraId="38A05161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Workflow engine downtime</w:t>
            </w:r>
          </w:p>
        </w:tc>
        <w:tc>
          <w:tcPr>
            <w:tcW w:w="3347" w:type="dxa"/>
            <w:vAlign w:val="center"/>
          </w:tcPr>
          <w:p w14:paraId="795ECE93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Redundant cluster deployment</w:t>
            </w:r>
          </w:p>
        </w:tc>
      </w:tr>
      <w:tr w:rsidR="001628B4" w14:paraId="20F03B6E" w14:textId="77777777">
        <w:tc>
          <w:tcPr>
            <w:tcW w:w="2743" w:type="dxa"/>
            <w:shd w:val="clear" w:color="auto" w:fill="FFFFFF"/>
            <w:vAlign w:val="center"/>
          </w:tcPr>
          <w:p w14:paraId="26506AEA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Integration API failure</w:t>
            </w:r>
          </w:p>
        </w:tc>
        <w:tc>
          <w:tcPr>
            <w:tcW w:w="3347" w:type="dxa"/>
            <w:shd w:val="clear" w:color="auto" w:fill="FFFFFF"/>
            <w:vAlign w:val="center"/>
          </w:tcPr>
          <w:p w14:paraId="762267AC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Circuit breakers and retry logic</w:t>
            </w:r>
          </w:p>
        </w:tc>
      </w:tr>
      <w:tr w:rsidR="001628B4" w14:paraId="70C6D849" w14:textId="77777777">
        <w:tc>
          <w:tcPr>
            <w:tcW w:w="2743" w:type="dxa"/>
            <w:vAlign w:val="center"/>
          </w:tcPr>
          <w:p w14:paraId="3B24ADDF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Data breach</w:t>
            </w:r>
          </w:p>
        </w:tc>
        <w:tc>
          <w:tcPr>
            <w:tcW w:w="3347" w:type="dxa"/>
            <w:vAlign w:val="center"/>
          </w:tcPr>
          <w:p w14:paraId="092F25B9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End-to-end encryption and RBAC</w:t>
            </w:r>
          </w:p>
        </w:tc>
      </w:tr>
      <w:tr w:rsidR="001628B4" w14:paraId="650C7929" w14:textId="77777777">
        <w:tc>
          <w:tcPr>
            <w:tcW w:w="2743" w:type="dxa"/>
            <w:tcBorders>
              <w:bottom w:val="single" w:sz="6" w:space="0" w:color="000000"/>
            </w:tcBorders>
            <w:vAlign w:val="center"/>
          </w:tcPr>
          <w:p w14:paraId="17645D8F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SLA violations</w:t>
            </w:r>
          </w:p>
        </w:tc>
        <w:tc>
          <w:tcPr>
            <w:tcW w:w="3347" w:type="dxa"/>
            <w:tcBorders>
              <w:bottom w:val="single" w:sz="6" w:space="0" w:color="000000"/>
            </w:tcBorders>
            <w:vAlign w:val="center"/>
          </w:tcPr>
          <w:p w14:paraId="0066064D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Real-time monitoring and alerting</w:t>
            </w:r>
          </w:p>
        </w:tc>
      </w:tr>
    </w:tbl>
    <w:p w14:paraId="160B918C" w14:textId="77777777" w:rsidR="001628B4" w:rsidRDefault="00000000">
      <w:pPr>
        <w:pStyle w:val="Heading3"/>
        <w:spacing w:before="0" w:after="200"/>
        <w:rPr>
          <w:rStyle w:val="Strong"/>
          <w:b/>
        </w:rPr>
      </w:pPr>
      <w:r>
        <w:rPr>
          <w:rStyle w:val="Strong"/>
          <w:b/>
        </w:rPr>
        <w:t>3.8 Traceability to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3"/>
        <w:gridCol w:w="3043"/>
      </w:tblGrid>
      <w:tr w:rsidR="002B2028" w:rsidRPr="00AF6E5E" w14:paraId="1715485D" w14:textId="77777777" w:rsidTr="00F01E68">
        <w:tc>
          <w:tcPr>
            <w:tcW w:w="0" w:type="auto"/>
            <w:hideMark/>
          </w:tcPr>
          <w:p w14:paraId="76B038FC" w14:textId="77777777" w:rsidR="002B2028" w:rsidRPr="00AF6E5E" w:rsidRDefault="002B2028" w:rsidP="00F01E68">
            <w:pPr>
              <w:spacing w:after="160" w:line="259" w:lineRule="auto"/>
              <w:rPr>
                <w:b/>
                <w:bCs/>
              </w:rPr>
            </w:pPr>
            <w:r w:rsidRPr="00AF6E5E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61871AA0" w14:textId="77777777" w:rsidR="002B2028" w:rsidRPr="00AF6E5E" w:rsidRDefault="002B2028" w:rsidP="00F01E68">
            <w:pPr>
              <w:spacing w:after="160" w:line="259" w:lineRule="auto"/>
              <w:rPr>
                <w:b/>
                <w:bCs/>
              </w:rPr>
            </w:pPr>
            <w:r w:rsidRPr="00AF6E5E">
              <w:rPr>
                <w:b/>
                <w:bCs/>
              </w:rPr>
              <w:t>Component</w:t>
            </w:r>
          </w:p>
        </w:tc>
      </w:tr>
      <w:tr w:rsidR="002B2028" w:rsidRPr="00AF6E5E" w14:paraId="105F97EB" w14:textId="77777777" w:rsidTr="00F01E68">
        <w:tc>
          <w:tcPr>
            <w:tcW w:w="0" w:type="auto"/>
            <w:hideMark/>
          </w:tcPr>
          <w:p w14:paraId="2685E244" w14:textId="77777777" w:rsidR="002B2028" w:rsidRPr="00AF6E5E" w:rsidRDefault="002B2028" w:rsidP="00F01E68">
            <w:pPr>
              <w:spacing w:after="160" w:line="259" w:lineRule="auto"/>
            </w:pPr>
            <w:r w:rsidRPr="00AF6E5E">
              <w:lastRenderedPageBreak/>
              <w:t>FR-1 to FR-5</w:t>
            </w:r>
          </w:p>
        </w:tc>
        <w:tc>
          <w:tcPr>
            <w:tcW w:w="0" w:type="auto"/>
            <w:hideMark/>
          </w:tcPr>
          <w:p w14:paraId="7946134E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Workflow Orchestration &amp; Core Engine</w:t>
            </w:r>
          </w:p>
        </w:tc>
      </w:tr>
      <w:tr w:rsidR="002B2028" w:rsidRPr="00AF6E5E" w14:paraId="45AA924F" w14:textId="77777777" w:rsidTr="00F01E68">
        <w:tc>
          <w:tcPr>
            <w:tcW w:w="0" w:type="auto"/>
            <w:hideMark/>
          </w:tcPr>
          <w:p w14:paraId="3E53BA29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Definition and execution of workflows</w:t>
            </w:r>
          </w:p>
        </w:tc>
        <w:tc>
          <w:tcPr>
            <w:tcW w:w="0" w:type="auto"/>
            <w:hideMark/>
          </w:tcPr>
          <w:p w14:paraId="2D197BAE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0A62B57F" w14:textId="77777777" w:rsidTr="00F01E68">
        <w:tc>
          <w:tcPr>
            <w:tcW w:w="0" w:type="auto"/>
            <w:hideMark/>
          </w:tcPr>
          <w:p w14:paraId="3BBBC135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SLA tracking for policies and claims</w:t>
            </w:r>
          </w:p>
        </w:tc>
        <w:tc>
          <w:tcPr>
            <w:tcW w:w="0" w:type="auto"/>
            <w:hideMark/>
          </w:tcPr>
          <w:p w14:paraId="2CEFE64C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067E4171" w14:textId="77777777" w:rsidTr="00F01E68">
        <w:tc>
          <w:tcPr>
            <w:tcW w:w="0" w:type="auto"/>
            <w:hideMark/>
          </w:tcPr>
          <w:p w14:paraId="07D99258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Audit logging for all workflow steps</w:t>
            </w:r>
          </w:p>
        </w:tc>
        <w:tc>
          <w:tcPr>
            <w:tcW w:w="0" w:type="auto"/>
            <w:hideMark/>
          </w:tcPr>
          <w:p w14:paraId="40CFFF34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6CC56938" w14:textId="77777777" w:rsidTr="00F01E68">
        <w:tc>
          <w:tcPr>
            <w:tcW w:w="0" w:type="auto"/>
            <w:hideMark/>
          </w:tcPr>
          <w:p w14:paraId="34A12D78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FR-6 to FR-9</w:t>
            </w:r>
          </w:p>
        </w:tc>
        <w:tc>
          <w:tcPr>
            <w:tcW w:w="0" w:type="auto"/>
            <w:hideMark/>
          </w:tcPr>
          <w:p w14:paraId="265A2EE2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Policy Lifecycle Automation</w:t>
            </w:r>
          </w:p>
        </w:tc>
      </w:tr>
      <w:tr w:rsidR="002B2028" w:rsidRPr="00AF6E5E" w14:paraId="4DCACC7A" w14:textId="77777777" w:rsidTr="00F01E68">
        <w:tc>
          <w:tcPr>
            <w:tcW w:w="0" w:type="auto"/>
            <w:hideMark/>
          </w:tcPr>
          <w:p w14:paraId="6C62705E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Policy creation, underwriting, approval, renewal</w:t>
            </w:r>
          </w:p>
        </w:tc>
        <w:tc>
          <w:tcPr>
            <w:tcW w:w="0" w:type="auto"/>
            <w:hideMark/>
          </w:tcPr>
          <w:p w14:paraId="177DBD10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1E7572B3" w14:textId="77777777" w:rsidTr="00F01E68">
        <w:tc>
          <w:tcPr>
            <w:tcW w:w="0" w:type="auto"/>
            <w:hideMark/>
          </w:tcPr>
          <w:p w14:paraId="781350F7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Policy status transitions (pending, active, expired, cancelled)</w:t>
            </w:r>
          </w:p>
        </w:tc>
        <w:tc>
          <w:tcPr>
            <w:tcW w:w="0" w:type="auto"/>
            <w:hideMark/>
          </w:tcPr>
          <w:p w14:paraId="1815FC1C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514086AE" w14:textId="77777777" w:rsidTr="00F01E68">
        <w:tc>
          <w:tcPr>
            <w:tcW w:w="0" w:type="auto"/>
            <w:hideMark/>
          </w:tcPr>
          <w:p w14:paraId="1ABDFD2B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Auto-assignment to underwriters</w:t>
            </w:r>
          </w:p>
        </w:tc>
        <w:tc>
          <w:tcPr>
            <w:tcW w:w="0" w:type="auto"/>
            <w:hideMark/>
          </w:tcPr>
          <w:p w14:paraId="05A620AF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2002839F" w14:textId="77777777" w:rsidTr="00F01E68">
        <w:tc>
          <w:tcPr>
            <w:tcW w:w="0" w:type="auto"/>
            <w:hideMark/>
          </w:tcPr>
          <w:p w14:paraId="337BA863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Policy-related SLA tracking</w:t>
            </w:r>
          </w:p>
        </w:tc>
        <w:tc>
          <w:tcPr>
            <w:tcW w:w="0" w:type="auto"/>
            <w:hideMark/>
          </w:tcPr>
          <w:p w14:paraId="29F7BC60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53989163" w14:textId="77777777" w:rsidTr="00F01E68">
        <w:tc>
          <w:tcPr>
            <w:tcW w:w="0" w:type="auto"/>
            <w:hideMark/>
          </w:tcPr>
          <w:p w14:paraId="1B802EF3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FR-10 to FR-15</w:t>
            </w:r>
          </w:p>
        </w:tc>
        <w:tc>
          <w:tcPr>
            <w:tcW w:w="0" w:type="auto"/>
            <w:hideMark/>
          </w:tcPr>
          <w:p w14:paraId="1F95DEFF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Claims Workflow Automation</w:t>
            </w:r>
          </w:p>
        </w:tc>
      </w:tr>
      <w:tr w:rsidR="002B2028" w:rsidRPr="00AF6E5E" w14:paraId="04B7079E" w14:textId="77777777" w:rsidTr="00F01E68">
        <w:tc>
          <w:tcPr>
            <w:tcW w:w="0" w:type="auto"/>
            <w:hideMark/>
          </w:tcPr>
          <w:p w14:paraId="1F0E5803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Claim submission, validation and decisioning</w:t>
            </w:r>
          </w:p>
        </w:tc>
        <w:tc>
          <w:tcPr>
            <w:tcW w:w="0" w:type="auto"/>
            <w:hideMark/>
          </w:tcPr>
          <w:p w14:paraId="045324CA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72426DC7" w14:textId="77777777" w:rsidTr="00F01E68">
        <w:tc>
          <w:tcPr>
            <w:tcW w:w="0" w:type="auto"/>
            <w:hideMark/>
          </w:tcPr>
          <w:p w14:paraId="7CABEEA5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Fraud scoring and flagging of high-risk claims</w:t>
            </w:r>
          </w:p>
        </w:tc>
        <w:tc>
          <w:tcPr>
            <w:tcW w:w="0" w:type="auto"/>
            <w:hideMark/>
          </w:tcPr>
          <w:p w14:paraId="6AEF1D42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245B18F6" w14:textId="77777777" w:rsidTr="00F01E68">
        <w:tc>
          <w:tcPr>
            <w:tcW w:w="0" w:type="auto"/>
            <w:hideMark/>
          </w:tcPr>
          <w:p w14:paraId="797A4E6C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Auto-assignment to adjusters / analysts</w:t>
            </w:r>
          </w:p>
        </w:tc>
        <w:tc>
          <w:tcPr>
            <w:tcW w:w="0" w:type="auto"/>
            <w:hideMark/>
          </w:tcPr>
          <w:p w14:paraId="641F6B0F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58E47D73" w14:textId="77777777" w:rsidTr="00F01E68">
        <w:tc>
          <w:tcPr>
            <w:tcW w:w="0" w:type="auto"/>
            <w:hideMark/>
          </w:tcPr>
          <w:p w14:paraId="55D9482B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 xml:space="preserve">· Claim status transitions (submitted, </w:t>
            </w:r>
            <w:proofErr w:type="spellStart"/>
            <w:r w:rsidRPr="00AF6E5E">
              <w:t>under_review</w:t>
            </w:r>
            <w:proofErr w:type="spellEnd"/>
            <w:r w:rsidRPr="00AF6E5E">
              <w:t>, approved, rejected, paid)</w:t>
            </w:r>
          </w:p>
        </w:tc>
        <w:tc>
          <w:tcPr>
            <w:tcW w:w="0" w:type="auto"/>
            <w:hideMark/>
          </w:tcPr>
          <w:p w14:paraId="0BB2794F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383AAAD1" w14:textId="77777777" w:rsidTr="00F01E68">
        <w:tc>
          <w:tcPr>
            <w:tcW w:w="0" w:type="auto"/>
            <w:hideMark/>
          </w:tcPr>
          <w:p w14:paraId="50AD95FE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Claim-related SLA tracking</w:t>
            </w:r>
          </w:p>
        </w:tc>
        <w:tc>
          <w:tcPr>
            <w:tcW w:w="0" w:type="auto"/>
            <w:hideMark/>
          </w:tcPr>
          <w:p w14:paraId="2E601CB9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60FBC016" w14:textId="77777777" w:rsidTr="00F01E68">
        <w:tc>
          <w:tcPr>
            <w:tcW w:w="0" w:type="auto"/>
            <w:hideMark/>
          </w:tcPr>
          <w:p w14:paraId="3DB7E3F3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FR-16 to FR-19</w:t>
            </w:r>
          </w:p>
        </w:tc>
        <w:tc>
          <w:tcPr>
            <w:tcW w:w="0" w:type="auto"/>
            <w:hideMark/>
          </w:tcPr>
          <w:p w14:paraId="52B0BAD1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Task Automation &amp; Escalation</w:t>
            </w:r>
          </w:p>
        </w:tc>
      </w:tr>
      <w:tr w:rsidR="002B2028" w:rsidRPr="00AF6E5E" w14:paraId="6622C6B6" w14:textId="77777777" w:rsidTr="00F01E68">
        <w:tc>
          <w:tcPr>
            <w:tcW w:w="0" w:type="auto"/>
            <w:hideMark/>
          </w:tcPr>
          <w:p w14:paraId="3504F5DE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Automatic task creation from workflow steps</w:t>
            </w:r>
          </w:p>
        </w:tc>
        <w:tc>
          <w:tcPr>
            <w:tcW w:w="0" w:type="auto"/>
            <w:hideMark/>
          </w:tcPr>
          <w:p w14:paraId="1A591261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5CEF152C" w14:textId="77777777" w:rsidTr="00F01E68">
        <w:tc>
          <w:tcPr>
            <w:tcW w:w="0" w:type="auto"/>
            <w:hideMark/>
          </w:tcPr>
          <w:p w14:paraId="5F2E2C27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Escalation rules based on SLA breaches or near-breach</w:t>
            </w:r>
          </w:p>
        </w:tc>
        <w:tc>
          <w:tcPr>
            <w:tcW w:w="0" w:type="auto"/>
            <w:hideMark/>
          </w:tcPr>
          <w:p w14:paraId="0960AD90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77C0201D" w14:textId="77777777" w:rsidTr="00F01E68">
        <w:tc>
          <w:tcPr>
            <w:tcW w:w="0" w:type="auto"/>
            <w:hideMark/>
          </w:tcPr>
          <w:p w14:paraId="5B0C2B19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Reassignment / workload balancing</w:t>
            </w:r>
          </w:p>
        </w:tc>
        <w:tc>
          <w:tcPr>
            <w:tcW w:w="0" w:type="auto"/>
            <w:hideMark/>
          </w:tcPr>
          <w:p w14:paraId="7CDE506B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737C4DCA" w14:textId="77777777" w:rsidTr="00F01E68">
        <w:tc>
          <w:tcPr>
            <w:tcW w:w="0" w:type="auto"/>
            <w:hideMark/>
          </w:tcPr>
          <w:p w14:paraId="209CF37F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Notifications to responsible users on escalations</w:t>
            </w:r>
          </w:p>
        </w:tc>
        <w:tc>
          <w:tcPr>
            <w:tcW w:w="0" w:type="auto"/>
            <w:hideMark/>
          </w:tcPr>
          <w:p w14:paraId="40360576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1D7C73C5" w14:textId="77777777" w:rsidTr="00F01E68">
        <w:tc>
          <w:tcPr>
            <w:tcW w:w="0" w:type="auto"/>
            <w:hideMark/>
          </w:tcPr>
          <w:p w14:paraId="02C13AFE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FR-20 to FR-23</w:t>
            </w:r>
          </w:p>
        </w:tc>
        <w:tc>
          <w:tcPr>
            <w:tcW w:w="0" w:type="auto"/>
            <w:hideMark/>
          </w:tcPr>
          <w:p w14:paraId="4A00D872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Communication &amp; Notifications</w:t>
            </w:r>
          </w:p>
        </w:tc>
      </w:tr>
      <w:tr w:rsidR="002B2028" w:rsidRPr="00AF6E5E" w14:paraId="2612562B" w14:textId="77777777" w:rsidTr="00F01E68">
        <w:tc>
          <w:tcPr>
            <w:tcW w:w="0" w:type="auto"/>
            <w:hideMark/>
          </w:tcPr>
          <w:p w14:paraId="4A721BB1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In-app notifications for policies and claims</w:t>
            </w:r>
          </w:p>
        </w:tc>
        <w:tc>
          <w:tcPr>
            <w:tcW w:w="0" w:type="auto"/>
            <w:hideMark/>
          </w:tcPr>
          <w:p w14:paraId="169D27F3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2ECE83AB" w14:textId="77777777" w:rsidTr="00F01E68">
        <w:tc>
          <w:tcPr>
            <w:tcW w:w="0" w:type="auto"/>
            <w:hideMark/>
          </w:tcPr>
          <w:p w14:paraId="28806EA3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Configurable templates for alerts and updates</w:t>
            </w:r>
          </w:p>
        </w:tc>
        <w:tc>
          <w:tcPr>
            <w:tcW w:w="0" w:type="auto"/>
            <w:hideMark/>
          </w:tcPr>
          <w:p w14:paraId="622133D6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66804EBD" w14:textId="77777777" w:rsidTr="00F01E68">
        <w:tc>
          <w:tcPr>
            <w:tcW w:w="0" w:type="auto"/>
            <w:hideMark/>
          </w:tcPr>
          <w:p w14:paraId="439DF251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Multi-channel extensions (email / SMS) in future</w:t>
            </w:r>
          </w:p>
        </w:tc>
        <w:tc>
          <w:tcPr>
            <w:tcW w:w="0" w:type="auto"/>
            <w:hideMark/>
          </w:tcPr>
          <w:p w14:paraId="1D65D3F0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5CF96C03" w14:textId="77777777" w:rsidTr="00F01E68">
        <w:tc>
          <w:tcPr>
            <w:tcW w:w="0" w:type="auto"/>
            <w:hideMark/>
          </w:tcPr>
          <w:p w14:paraId="63599D79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User-level preferences for notification types</w:t>
            </w:r>
          </w:p>
        </w:tc>
        <w:tc>
          <w:tcPr>
            <w:tcW w:w="0" w:type="auto"/>
            <w:hideMark/>
          </w:tcPr>
          <w:p w14:paraId="7FFB0B9C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042445B8" w14:textId="77777777" w:rsidTr="00F01E68">
        <w:tc>
          <w:tcPr>
            <w:tcW w:w="0" w:type="auto"/>
            <w:hideMark/>
          </w:tcPr>
          <w:p w14:paraId="67B1912B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FR-24 to FR-27</w:t>
            </w:r>
          </w:p>
        </w:tc>
        <w:tc>
          <w:tcPr>
            <w:tcW w:w="0" w:type="auto"/>
            <w:hideMark/>
          </w:tcPr>
          <w:p w14:paraId="221B15E9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Reporting, Analytics &amp; Compliance</w:t>
            </w:r>
          </w:p>
        </w:tc>
      </w:tr>
      <w:tr w:rsidR="002B2028" w:rsidRPr="00AF6E5E" w14:paraId="58FB411F" w14:textId="77777777" w:rsidTr="00F01E68">
        <w:tc>
          <w:tcPr>
            <w:tcW w:w="0" w:type="auto"/>
            <w:hideMark/>
          </w:tcPr>
          <w:p w14:paraId="7E934E8D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Operational dashboards (policies, claims, SLAs, fraud flags)</w:t>
            </w:r>
          </w:p>
        </w:tc>
        <w:tc>
          <w:tcPr>
            <w:tcW w:w="0" w:type="auto"/>
            <w:hideMark/>
          </w:tcPr>
          <w:p w14:paraId="74396597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467629F5" w14:textId="77777777" w:rsidTr="00F01E68">
        <w:tc>
          <w:tcPr>
            <w:tcW w:w="0" w:type="auto"/>
            <w:hideMark/>
          </w:tcPr>
          <w:p w14:paraId="39FE386D" w14:textId="77777777" w:rsidR="002B2028" w:rsidRPr="00AF6E5E" w:rsidRDefault="002B2028" w:rsidP="00F01E68">
            <w:pPr>
              <w:spacing w:after="160" w:line="259" w:lineRule="auto"/>
            </w:pPr>
            <w:r w:rsidRPr="00AF6E5E">
              <w:lastRenderedPageBreak/>
              <w:t>· Compliance and audit reports (workflows, approvals, overrides)</w:t>
            </w:r>
          </w:p>
        </w:tc>
        <w:tc>
          <w:tcPr>
            <w:tcW w:w="0" w:type="auto"/>
            <w:hideMark/>
          </w:tcPr>
          <w:p w14:paraId="68C7723B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44E9DBB6" w14:textId="77777777" w:rsidTr="00F01E68">
        <w:tc>
          <w:tcPr>
            <w:tcW w:w="0" w:type="auto"/>
            <w:hideMark/>
          </w:tcPr>
          <w:p w14:paraId="3E3484C1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Export of reports (CSV / PDF) for regulators</w:t>
            </w:r>
          </w:p>
        </w:tc>
        <w:tc>
          <w:tcPr>
            <w:tcW w:w="0" w:type="auto"/>
            <w:hideMark/>
          </w:tcPr>
          <w:p w14:paraId="7FD5B767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32C5B05B" w14:textId="77777777" w:rsidTr="00F01E68">
        <w:tc>
          <w:tcPr>
            <w:tcW w:w="0" w:type="auto"/>
            <w:hideMark/>
          </w:tcPr>
          <w:p w14:paraId="5A9EA12B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Monitoring of error rates and system health</w:t>
            </w:r>
          </w:p>
        </w:tc>
        <w:tc>
          <w:tcPr>
            <w:tcW w:w="0" w:type="auto"/>
            <w:hideMark/>
          </w:tcPr>
          <w:p w14:paraId="1299D67A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60C5C309" w14:textId="77777777" w:rsidTr="00F01E68">
        <w:tc>
          <w:tcPr>
            <w:tcW w:w="0" w:type="auto"/>
            <w:hideMark/>
          </w:tcPr>
          <w:p w14:paraId="650B6913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FR-28 to FR-31</w:t>
            </w:r>
          </w:p>
        </w:tc>
        <w:tc>
          <w:tcPr>
            <w:tcW w:w="0" w:type="auto"/>
            <w:hideMark/>
          </w:tcPr>
          <w:p w14:paraId="01CAEBD4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Security, Access Control &amp; Data Management</w:t>
            </w:r>
          </w:p>
        </w:tc>
      </w:tr>
      <w:tr w:rsidR="002B2028" w:rsidRPr="00AF6E5E" w14:paraId="4E4FD201" w14:textId="77777777" w:rsidTr="00F01E68">
        <w:tc>
          <w:tcPr>
            <w:tcW w:w="0" w:type="auto"/>
            <w:hideMark/>
          </w:tcPr>
          <w:p w14:paraId="1DD811C2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Authentication (OAuth 2.0 / JWT / MFA-ready)</w:t>
            </w:r>
          </w:p>
        </w:tc>
        <w:tc>
          <w:tcPr>
            <w:tcW w:w="0" w:type="auto"/>
            <w:hideMark/>
          </w:tcPr>
          <w:p w14:paraId="052DEFA9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6C72CFAA" w14:textId="77777777" w:rsidTr="00F01E68">
        <w:tc>
          <w:tcPr>
            <w:tcW w:w="0" w:type="auto"/>
            <w:hideMark/>
          </w:tcPr>
          <w:p w14:paraId="67383F43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Role-Based Access Control (customers, underwriters, adjusters, analysts, managers, admins)</w:t>
            </w:r>
          </w:p>
        </w:tc>
        <w:tc>
          <w:tcPr>
            <w:tcW w:w="0" w:type="auto"/>
            <w:hideMark/>
          </w:tcPr>
          <w:p w14:paraId="73DFD171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0A45F892" w14:textId="77777777" w:rsidTr="00F01E68">
        <w:tc>
          <w:tcPr>
            <w:tcW w:w="0" w:type="auto"/>
            <w:hideMark/>
          </w:tcPr>
          <w:p w14:paraId="0B959117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Data encryption in transit and at rest</w:t>
            </w:r>
          </w:p>
        </w:tc>
        <w:tc>
          <w:tcPr>
            <w:tcW w:w="0" w:type="auto"/>
            <w:hideMark/>
          </w:tcPr>
          <w:p w14:paraId="03EBDB3A" w14:textId="77777777" w:rsidR="002B2028" w:rsidRPr="00AF6E5E" w:rsidRDefault="002B2028" w:rsidP="00F01E68">
            <w:pPr>
              <w:spacing w:after="160" w:line="259" w:lineRule="auto"/>
            </w:pPr>
          </w:p>
        </w:tc>
      </w:tr>
      <w:tr w:rsidR="002B2028" w:rsidRPr="00AF6E5E" w14:paraId="592D5AEB" w14:textId="77777777" w:rsidTr="00F01E68">
        <w:tc>
          <w:tcPr>
            <w:tcW w:w="0" w:type="auto"/>
            <w:hideMark/>
          </w:tcPr>
          <w:p w14:paraId="395DAADE" w14:textId="77777777" w:rsidR="002B2028" w:rsidRPr="00AF6E5E" w:rsidRDefault="002B2028" w:rsidP="00F01E68">
            <w:pPr>
              <w:spacing w:after="160" w:line="259" w:lineRule="auto"/>
            </w:pPr>
            <w:r w:rsidRPr="00AF6E5E">
              <w:t>· No PII or secrets in logs; proper retention and backup policies</w:t>
            </w:r>
          </w:p>
        </w:tc>
        <w:tc>
          <w:tcPr>
            <w:tcW w:w="0" w:type="auto"/>
            <w:hideMark/>
          </w:tcPr>
          <w:p w14:paraId="5970D878" w14:textId="77777777" w:rsidR="002B2028" w:rsidRPr="00AF6E5E" w:rsidRDefault="002B2028" w:rsidP="00F01E68">
            <w:pPr>
              <w:spacing w:after="160" w:line="259" w:lineRule="auto"/>
            </w:pPr>
          </w:p>
        </w:tc>
      </w:tr>
    </w:tbl>
    <w:p w14:paraId="184A551F" w14:textId="77777777" w:rsidR="002B2028" w:rsidRPr="002B2028" w:rsidRDefault="002B2028" w:rsidP="002B2028"/>
    <w:p w14:paraId="19C961E5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3.9 Security Architecture</w:t>
      </w:r>
    </w:p>
    <w:p w14:paraId="5DBD4EDA" w14:textId="77777777" w:rsidR="001628B4" w:rsidRDefault="00000000">
      <w:pPr>
        <w:pStyle w:val="BodyText"/>
        <w:spacing w:after="200"/>
      </w:pPr>
      <w:r>
        <w:rPr>
          <w:rStyle w:val="Strong"/>
        </w:rPr>
        <w:t>Threat Modeling (STRIDE):</w:t>
      </w:r>
    </w:p>
    <w:tbl>
      <w:tblPr>
        <w:tblW w:w="6368" w:type="dxa"/>
        <w:tblLayout w:type="fixed"/>
        <w:tblCellMar>
          <w:left w:w="0" w:type="dxa"/>
          <w:right w:w="283" w:type="dxa"/>
        </w:tblCellMar>
        <w:tblLook w:val="04A0" w:firstRow="1" w:lastRow="0" w:firstColumn="1" w:lastColumn="0" w:noHBand="0" w:noVBand="1"/>
      </w:tblPr>
      <w:tblGrid>
        <w:gridCol w:w="2946"/>
        <w:gridCol w:w="3422"/>
      </w:tblGrid>
      <w:tr w:rsidR="001628B4" w14:paraId="6E953FA0" w14:textId="77777777">
        <w:tc>
          <w:tcPr>
            <w:tcW w:w="2946" w:type="dxa"/>
            <w:shd w:val="clear" w:color="auto" w:fill="2A6099"/>
            <w:vAlign w:val="center"/>
          </w:tcPr>
          <w:p w14:paraId="4286F808" w14:textId="77777777" w:rsidR="001628B4" w:rsidRDefault="00000000">
            <w:pPr>
              <w:pStyle w:val="TableHeading"/>
              <w:jc w:val="left"/>
              <w:rPr>
                <w:rFonts w:ascii="Segoe UI" w:hAnsi="Segoe UI"/>
                <w:color w:val="FFFFFF"/>
                <w:sz w:val="24"/>
                <w:szCs w:val="24"/>
              </w:rPr>
            </w:pPr>
            <w:r>
              <w:rPr>
                <w:rFonts w:ascii="Segoe UI" w:hAnsi="Segoe UI"/>
                <w:color w:val="FFFFFF"/>
                <w:sz w:val="24"/>
                <w:szCs w:val="24"/>
              </w:rPr>
              <w:t>Threat</w:t>
            </w:r>
          </w:p>
        </w:tc>
        <w:tc>
          <w:tcPr>
            <w:tcW w:w="3422" w:type="dxa"/>
            <w:shd w:val="clear" w:color="auto" w:fill="2A6099"/>
            <w:vAlign w:val="center"/>
          </w:tcPr>
          <w:p w14:paraId="4EE627E4" w14:textId="77777777" w:rsidR="001628B4" w:rsidRDefault="00000000">
            <w:pPr>
              <w:pStyle w:val="TableHeading"/>
              <w:jc w:val="left"/>
              <w:rPr>
                <w:rFonts w:ascii="Segoe UI" w:hAnsi="Segoe UI"/>
                <w:color w:val="FFFFFF"/>
                <w:sz w:val="24"/>
                <w:szCs w:val="24"/>
              </w:rPr>
            </w:pPr>
            <w:r>
              <w:rPr>
                <w:rFonts w:ascii="Segoe UI" w:hAnsi="Segoe UI"/>
                <w:color w:val="FFFFFF"/>
                <w:sz w:val="24"/>
                <w:szCs w:val="24"/>
              </w:rPr>
              <w:t>Mitigation</w:t>
            </w:r>
          </w:p>
        </w:tc>
      </w:tr>
      <w:tr w:rsidR="001628B4" w14:paraId="18C75D14" w14:textId="77777777">
        <w:tc>
          <w:tcPr>
            <w:tcW w:w="2946" w:type="dxa"/>
            <w:vAlign w:val="center"/>
          </w:tcPr>
          <w:p w14:paraId="6EB6C93E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Segoe UI" w:hAnsi="Segoe UI"/>
                <w:color w:val="000000"/>
                <w:sz w:val="24"/>
                <w:szCs w:val="24"/>
              </w:rPr>
              <w:t>Spoofing</w:t>
            </w:r>
          </w:p>
        </w:tc>
        <w:tc>
          <w:tcPr>
            <w:tcW w:w="3422" w:type="dxa"/>
            <w:vAlign w:val="center"/>
          </w:tcPr>
          <w:p w14:paraId="755353EB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OAuth 2.0 / JWT verification</w:t>
            </w:r>
          </w:p>
        </w:tc>
      </w:tr>
      <w:tr w:rsidR="001628B4" w14:paraId="176E124F" w14:textId="77777777">
        <w:tc>
          <w:tcPr>
            <w:tcW w:w="2946" w:type="dxa"/>
            <w:shd w:val="clear" w:color="auto" w:fill="FFFFFF"/>
            <w:vAlign w:val="center"/>
          </w:tcPr>
          <w:p w14:paraId="334A81BD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Segoe UI" w:hAnsi="Segoe UI"/>
                <w:color w:val="000000"/>
                <w:sz w:val="24"/>
                <w:szCs w:val="24"/>
              </w:rPr>
              <w:t>Tampering</w:t>
            </w:r>
          </w:p>
        </w:tc>
        <w:tc>
          <w:tcPr>
            <w:tcW w:w="3422" w:type="dxa"/>
            <w:shd w:val="clear" w:color="auto" w:fill="FFFFFF"/>
            <w:vAlign w:val="center"/>
          </w:tcPr>
          <w:p w14:paraId="4C5FEF59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Encrypted workflow data and audit logs</w:t>
            </w:r>
          </w:p>
        </w:tc>
      </w:tr>
      <w:tr w:rsidR="001628B4" w14:paraId="0548F47F" w14:textId="77777777">
        <w:tc>
          <w:tcPr>
            <w:tcW w:w="2946" w:type="dxa"/>
            <w:vAlign w:val="center"/>
          </w:tcPr>
          <w:p w14:paraId="74C12688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Segoe UI" w:hAnsi="Segoe UI"/>
                <w:color w:val="000000"/>
                <w:sz w:val="24"/>
                <w:szCs w:val="24"/>
              </w:rPr>
              <w:t>Repudiation</w:t>
            </w:r>
          </w:p>
        </w:tc>
        <w:tc>
          <w:tcPr>
            <w:tcW w:w="3422" w:type="dxa"/>
            <w:vAlign w:val="center"/>
          </w:tcPr>
          <w:p w14:paraId="30F01456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Immutable audit trails</w:t>
            </w:r>
          </w:p>
        </w:tc>
      </w:tr>
      <w:tr w:rsidR="001628B4" w14:paraId="2FAD06F2" w14:textId="77777777">
        <w:tc>
          <w:tcPr>
            <w:tcW w:w="2946" w:type="dxa"/>
            <w:shd w:val="clear" w:color="auto" w:fill="FFFFFF"/>
            <w:vAlign w:val="center"/>
          </w:tcPr>
          <w:p w14:paraId="5AD86A07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Segoe UI" w:hAnsi="Segoe UI"/>
                <w:color w:val="000000"/>
                <w:sz w:val="24"/>
                <w:szCs w:val="24"/>
              </w:rPr>
              <w:t>Information Disclosure</w:t>
            </w:r>
          </w:p>
        </w:tc>
        <w:tc>
          <w:tcPr>
            <w:tcW w:w="3422" w:type="dxa"/>
            <w:shd w:val="clear" w:color="auto" w:fill="FFFFFF"/>
            <w:vAlign w:val="center"/>
          </w:tcPr>
          <w:p w14:paraId="3B6869BB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TLS 1.3 + AES-256 at rest</w:t>
            </w:r>
          </w:p>
        </w:tc>
      </w:tr>
      <w:tr w:rsidR="001628B4" w14:paraId="0720195A" w14:textId="77777777">
        <w:trPr>
          <w:trHeight w:val="395"/>
        </w:trPr>
        <w:tc>
          <w:tcPr>
            <w:tcW w:w="2946" w:type="dxa"/>
            <w:vAlign w:val="center"/>
          </w:tcPr>
          <w:p w14:paraId="1BF04DDB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Segoe UI" w:hAnsi="Segoe UI"/>
                <w:color w:val="000000"/>
                <w:sz w:val="24"/>
                <w:szCs w:val="24"/>
              </w:rPr>
              <w:t>Denial of Service</w:t>
            </w:r>
          </w:p>
        </w:tc>
        <w:tc>
          <w:tcPr>
            <w:tcW w:w="3422" w:type="dxa"/>
            <w:vAlign w:val="center"/>
          </w:tcPr>
          <w:p w14:paraId="6CE77929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Load balancing and auto-scaling</w:t>
            </w:r>
          </w:p>
        </w:tc>
      </w:tr>
      <w:tr w:rsidR="001628B4" w14:paraId="0A178DF4" w14:textId="77777777">
        <w:tc>
          <w:tcPr>
            <w:tcW w:w="2946" w:type="dxa"/>
            <w:tcBorders>
              <w:bottom w:val="single" w:sz="6" w:space="0" w:color="000000"/>
            </w:tcBorders>
            <w:vAlign w:val="center"/>
          </w:tcPr>
          <w:p w14:paraId="7579441E" w14:textId="77777777" w:rsidR="001628B4" w:rsidRDefault="00000000">
            <w:pPr>
              <w:pStyle w:val="TableContents"/>
              <w:jc w:val="righ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Segoe UI" w:hAnsi="Segoe UI"/>
                <w:color w:val="000000"/>
                <w:sz w:val="24"/>
                <w:szCs w:val="24"/>
              </w:rPr>
              <w:t>Elevation of Privilege</w:t>
            </w:r>
          </w:p>
        </w:tc>
        <w:tc>
          <w:tcPr>
            <w:tcW w:w="3422" w:type="dxa"/>
            <w:tcBorders>
              <w:bottom w:val="single" w:sz="6" w:space="0" w:color="000000"/>
            </w:tcBorders>
            <w:vAlign w:val="center"/>
          </w:tcPr>
          <w:p w14:paraId="48373C77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RBAC and MFA enforcement</w:t>
            </w:r>
          </w:p>
        </w:tc>
      </w:tr>
    </w:tbl>
    <w:p w14:paraId="51DEB474" w14:textId="77777777" w:rsidR="001628B4" w:rsidRDefault="00000000">
      <w:pPr>
        <w:pStyle w:val="Heading2"/>
        <w:spacing w:before="0" w:after="200"/>
      </w:pPr>
      <w:r>
        <w:rPr>
          <w:rStyle w:val="Strong"/>
          <w:b/>
        </w:rPr>
        <w:t>4. Design</w:t>
      </w:r>
    </w:p>
    <w:p w14:paraId="67BDA60C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4.1 Design Overview</w:t>
      </w:r>
    </w:p>
    <w:p w14:paraId="71980761" w14:textId="77777777" w:rsidR="001628B4" w:rsidRDefault="00000000">
      <w:pPr>
        <w:pStyle w:val="BodyText"/>
        <w:spacing w:after="200"/>
      </w:pPr>
      <w:r>
        <w:t>IWAS uses a layered modular design:</w:t>
      </w:r>
    </w:p>
    <w:p w14:paraId="705FF917" w14:textId="77777777" w:rsidR="001628B4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UI Layer:</w:t>
      </w:r>
      <w:r>
        <w:t xml:space="preserve"> Front-end portals for all roles.</w:t>
      </w:r>
    </w:p>
    <w:p w14:paraId="2CE3D414" w14:textId="77777777" w:rsidR="001628B4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Business Layer:</w:t>
      </w:r>
      <w:r>
        <w:t xml:space="preserve"> Workflow orchestration, rules evaluation, and process management.</w:t>
      </w:r>
    </w:p>
    <w:p w14:paraId="3B4BCC52" w14:textId="77777777" w:rsidR="001628B4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Integration Layer:</w:t>
      </w:r>
      <w:r>
        <w:t xml:space="preserve"> External systems communication via REST APIs.</w:t>
      </w:r>
    </w:p>
    <w:p w14:paraId="65EA4373" w14:textId="77777777" w:rsidR="001628B4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200"/>
      </w:pPr>
      <w:r>
        <w:rPr>
          <w:rStyle w:val="Strong"/>
        </w:rPr>
        <w:t>Data Layer:</w:t>
      </w:r>
      <w:r>
        <w:t xml:space="preserve"> Workflow, audit, and document storage.</w:t>
      </w:r>
    </w:p>
    <w:p w14:paraId="672A6E90" w14:textId="77777777" w:rsidR="001628B4" w:rsidRDefault="001628B4">
      <w:pPr>
        <w:pStyle w:val="HorizontalLine"/>
        <w:spacing w:after="200"/>
      </w:pPr>
    </w:p>
    <w:p w14:paraId="61E077B5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lastRenderedPageBreak/>
        <w:t>4.2 UML Sequence Diagrams</w:t>
      </w:r>
    </w:p>
    <w:p w14:paraId="7B5D3C15" w14:textId="77777777" w:rsidR="001628B4" w:rsidRPr="00DD09EC" w:rsidRDefault="00000000">
      <w:pPr>
        <w:pStyle w:val="Heading4"/>
        <w:spacing w:before="0" w:after="200"/>
        <w:rPr>
          <w:bCs/>
          <w:lang w:val="en-IN"/>
        </w:rPr>
      </w:pPr>
      <w:r>
        <w:rPr>
          <w:rStyle w:val="Strong"/>
          <w:b/>
        </w:rPr>
        <w:t xml:space="preserve">4.2.1 </w:t>
      </w:r>
      <w:r w:rsidR="00DD09EC" w:rsidRPr="00DD09EC">
        <w:rPr>
          <w:bCs/>
          <w:lang w:val="en-IN"/>
        </w:rPr>
        <w:t>User authentication</w:t>
      </w:r>
    </w:p>
    <w:p w14:paraId="42D6EFF5" w14:textId="77777777" w:rsidR="001628B4" w:rsidRDefault="00DD09EC">
      <w:pPr>
        <w:pStyle w:val="BodyText"/>
        <w:spacing w:after="200"/>
      </w:pPr>
      <w:r w:rsidRPr="00DD09EC">
        <w:drawing>
          <wp:inline distT="0" distB="0" distL="0" distR="0" wp14:anchorId="2AC69A72" wp14:editId="201FC801">
            <wp:extent cx="5274310" cy="3235325"/>
            <wp:effectExtent l="0" t="0" r="2540" b="3175"/>
            <wp:docPr id="23690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05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 xml:space="preserve">Covers the flow from </w:t>
      </w:r>
      <w:r w:rsidR="00000000">
        <w:rPr>
          <w:rStyle w:val="Strong"/>
        </w:rPr>
        <w:t>customer policy submission → underwriting → policy issuance</w:t>
      </w:r>
      <w:r w:rsidR="00000000">
        <w:t>.</w:t>
      </w:r>
    </w:p>
    <w:p w14:paraId="4AC06D6F" w14:textId="77777777" w:rsidR="00DD09EC" w:rsidRPr="00DD09EC" w:rsidRDefault="00000000" w:rsidP="00DD09EC">
      <w:pPr>
        <w:pStyle w:val="Heading4"/>
        <w:spacing w:before="0" w:after="200"/>
        <w:rPr>
          <w:bCs/>
          <w:lang w:val="en-IN"/>
        </w:rPr>
      </w:pPr>
      <w:r>
        <w:rPr>
          <w:rStyle w:val="Strong"/>
          <w:b/>
        </w:rPr>
        <w:t xml:space="preserve">4.2.2 </w:t>
      </w:r>
      <w:r w:rsidR="00DD09EC" w:rsidRPr="00DD09EC">
        <w:rPr>
          <w:bCs/>
          <w:lang w:val="en-IN"/>
        </w:rPr>
        <w:t>Policy creation &amp; approval </w:t>
      </w:r>
    </w:p>
    <w:p w14:paraId="53331696" w14:textId="77777777" w:rsidR="001628B4" w:rsidRDefault="00DD09EC">
      <w:pPr>
        <w:pStyle w:val="Heading4"/>
        <w:spacing w:before="0" w:after="200"/>
        <w:rPr>
          <w:bCs/>
          <w:lang w:val="en-IN"/>
        </w:rPr>
      </w:pPr>
      <w:r w:rsidRPr="00DD09EC">
        <w:rPr>
          <w:bCs/>
          <w:lang w:val="en-IN"/>
        </w:rPr>
        <w:t>Create policy</w:t>
      </w:r>
    </w:p>
    <w:p w14:paraId="69F65B78" w14:textId="77777777" w:rsidR="00DD09EC" w:rsidRPr="00DD09EC" w:rsidRDefault="00DD09EC" w:rsidP="00DD09EC">
      <w:pPr>
        <w:rPr>
          <w:lang w:val="en-IN"/>
        </w:rPr>
      </w:pPr>
      <w:r w:rsidRPr="00DD09EC">
        <w:rPr>
          <w:lang w:val="en-IN"/>
        </w:rPr>
        <w:drawing>
          <wp:inline distT="0" distB="0" distL="0" distR="0" wp14:anchorId="7E4897DD" wp14:editId="41F700C1">
            <wp:extent cx="5274310" cy="2451100"/>
            <wp:effectExtent l="0" t="0" r="2540" b="6350"/>
            <wp:docPr id="36894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2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08C6" w14:textId="77777777" w:rsidR="00DD09EC" w:rsidRDefault="00DD09EC" w:rsidP="00DD09EC">
      <w:pPr>
        <w:pStyle w:val="BodyText"/>
        <w:spacing w:after="200"/>
        <w:rPr>
          <w:b/>
          <w:bCs/>
          <w:color w:val="0070C0"/>
          <w:lang w:val="en-IN"/>
        </w:rPr>
      </w:pPr>
      <w:r w:rsidRPr="00DD09EC">
        <w:rPr>
          <w:b/>
          <w:bCs/>
          <w:color w:val="0070C0"/>
          <w:lang w:val="en-IN"/>
        </w:rPr>
        <w:t>Approve / update policy</w:t>
      </w:r>
    </w:p>
    <w:p w14:paraId="06FD6947" w14:textId="77777777" w:rsidR="00226588" w:rsidRPr="00DD09EC" w:rsidRDefault="00226588" w:rsidP="00DD09EC">
      <w:pPr>
        <w:pStyle w:val="BodyText"/>
        <w:spacing w:after="200"/>
        <w:rPr>
          <w:b/>
          <w:bCs/>
          <w:color w:val="0070C0"/>
          <w:lang w:val="en-IN"/>
        </w:rPr>
      </w:pPr>
      <w:r w:rsidRPr="00226588">
        <w:rPr>
          <w:b/>
          <w:bCs/>
          <w:color w:val="0070C0"/>
          <w:lang w:val="en-IN"/>
        </w:rPr>
        <w:lastRenderedPageBreak/>
        <w:drawing>
          <wp:inline distT="0" distB="0" distL="0" distR="0" wp14:anchorId="3BE4D58A" wp14:editId="54E0D869">
            <wp:extent cx="5274310" cy="2451100"/>
            <wp:effectExtent l="0" t="0" r="2540" b="6350"/>
            <wp:docPr id="210147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71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77FF" w14:textId="77777777" w:rsidR="001628B4" w:rsidRDefault="00000000">
      <w:pPr>
        <w:pStyle w:val="BodyText"/>
        <w:spacing w:after="200"/>
      </w:pPr>
      <w:r>
        <w:br/>
        <w:t xml:space="preserve">Covers the </w:t>
      </w:r>
      <w:r>
        <w:rPr>
          <w:rStyle w:val="Strong"/>
        </w:rPr>
        <w:t>claim submission → eligibility → fraud detection → approval/rejection</w:t>
      </w:r>
      <w:r>
        <w:t xml:space="preserve"> process.</w:t>
      </w:r>
    </w:p>
    <w:p w14:paraId="53545C1C" w14:textId="77777777" w:rsidR="001628B4" w:rsidRPr="002B2028" w:rsidRDefault="001628B4" w:rsidP="00F34BD8">
      <w:pPr>
        <w:pStyle w:val="HorizontalLine"/>
        <w:pBdr>
          <w:bottom w:val="double" w:sz="2" w:space="10" w:color="808080"/>
        </w:pBdr>
        <w:spacing w:after="200"/>
        <w:rPr>
          <w:b/>
          <w:bCs/>
        </w:rPr>
      </w:pPr>
    </w:p>
    <w:p w14:paraId="665E7C48" w14:textId="77777777" w:rsidR="00226588" w:rsidRPr="002B202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b/>
          <w:bCs/>
          <w:color w:val="0070C0"/>
          <w:sz w:val="22"/>
          <w:szCs w:val="22"/>
        </w:rPr>
      </w:pPr>
      <w:r w:rsidRPr="002B2028">
        <w:rPr>
          <w:rFonts w:asciiTheme="minorHAnsi" w:hAnsiTheme="minorHAnsi"/>
          <w:b/>
          <w:bCs/>
          <w:color w:val="0070C0"/>
          <w:sz w:val="22"/>
          <w:szCs w:val="22"/>
        </w:rPr>
        <w:t>4.3 API Design</w:t>
      </w:r>
    </w:p>
    <w:p w14:paraId="51D2B564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</w:p>
    <w:p w14:paraId="1B859200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  <w:r w:rsidRPr="00226588">
        <w:rPr>
          <w:rFonts w:asciiTheme="minorHAnsi" w:hAnsiTheme="minorHAnsi"/>
          <w:sz w:val="22"/>
          <w:szCs w:val="22"/>
        </w:rPr>
        <w:t>Endpoint 1: /</w:t>
      </w:r>
      <w:proofErr w:type="spellStart"/>
      <w:r w:rsidRPr="00226588">
        <w:rPr>
          <w:rFonts w:asciiTheme="minorHAnsi" w:hAnsiTheme="minorHAnsi"/>
          <w:sz w:val="22"/>
          <w:szCs w:val="22"/>
        </w:rPr>
        <w:t>api</w:t>
      </w:r>
      <w:proofErr w:type="spellEnd"/>
      <w:r w:rsidRPr="00226588">
        <w:rPr>
          <w:rFonts w:asciiTheme="minorHAnsi" w:hAnsiTheme="minorHAnsi"/>
          <w:sz w:val="22"/>
          <w:szCs w:val="22"/>
        </w:rPr>
        <w:t xml:space="preserve">/v1/policies  </w:t>
      </w:r>
    </w:p>
    <w:p w14:paraId="6E3EC737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  <w:r w:rsidRPr="00226588">
        <w:rPr>
          <w:rFonts w:asciiTheme="minorHAnsi" w:hAnsiTheme="minorHAnsi"/>
          <w:sz w:val="22"/>
          <w:szCs w:val="22"/>
        </w:rPr>
        <w:t xml:space="preserve">· Method: POST  </w:t>
      </w:r>
    </w:p>
    <w:p w14:paraId="796D722D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  <w:r w:rsidRPr="00226588">
        <w:rPr>
          <w:rFonts w:asciiTheme="minorHAnsi" w:hAnsiTheme="minorHAnsi"/>
          <w:sz w:val="22"/>
          <w:szCs w:val="22"/>
        </w:rPr>
        <w:t xml:space="preserve">· Description: Creates a new policy for a customer, optionally attaches documents, auto-assigns an underwriter (if available), creates a notification for the underwriter, and starts SLA tracking.  </w:t>
      </w:r>
    </w:p>
    <w:p w14:paraId="76C22972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</w:p>
    <w:p w14:paraId="11BCF96C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· Request:  </w:t>
      </w:r>
    </w:p>
    <w:p w14:paraId="19B95338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{  </w:t>
      </w:r>
    </w:p>
    <w:p w14:paraId="75BA3A8C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0464F756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policyDetails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{  </w:t>
      </w:r>
    </w:p>
    <w:p w14:paraId="30715611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   type,  </w:t>
      </w:r>
    </w:p>
    <w:p w14:paraId="06FF8A05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 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coverageAmount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145E8C01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   premium,  </w:t>
      </w:r>
    </w:p>
    <w:p w14:paraId="0A2DBFF5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 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startDate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1829D952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 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endDate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  </w:t>
      </w:r>
    </w:p>
    <w:p w14:paraId="1882E4ED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},  </w:t>
      </w:r>
    </w:p>
    <w:p w14:paraId="70950C2C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documents  </w:t>
      </w:r>
    </w:p>
    <w:p w14:paraId="2100D70B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lastRenderedPageBreak/>
        <w:t xml:space="preserve">  }  </w:t>
      </w:r>
    </w:p>
    <w:p w14:paraId="38467991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2B28ED7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· Request field details:  </w:t>
      </w:r>
    </w:p>
    <w:p w14:paraId="171E7572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customerId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number, required  </w:t>
      </w:r>
    </w:p>
    <w:p w14:paraId="068C57C2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policyDetails.type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string, required  </w:t>
      </w:r>
    </w:p>
    <w:p w14:paraId="510F6094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policyDetails.coverageAmount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number, required  </w:t>
      </w:r>
    </w:p>
    <w:p w14:paraId="55F8E2F5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policyDetails.premium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number, required  </w:t>
      </w:r>
    </w:p>
    <w:p w14:paraId="4827BF00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policyDetails.startDate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string (date, ISO format), required  </w:t>
      </w:r>
    </w:p>
    <w:p w14:paraId="37D72F5A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policyDetails.endDate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string (date, ISO format), required  </w:t>
      </w:r>
    </w:p>
    <w:p w14:paraId="55406D0E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documents: list of strings (optional, e.g., file names or references)  </w:t>
      </w:r>
    </w:p>
    <w:p w14:paraId="23A4985D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C75FF4C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· Response (success – 201 Created):  </w:t>
      </w:r>
    </w:p>
    <w:p w14:paraId="55D00CCE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{  </w:t>
      </w:r>
    </w:p>
    <w:p w14:paraId="298820F7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policyId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66656D4F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policyNumber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5C1F57C6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status,  </w:t>
      </w:r>
    </w:p>
    <w:p w14:paraId="39772C3C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message  </w:t>
      </w:r>
    </w:p>
    <w:p w14:paraId="2BE8C374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}  </w:t>
      </w:r>
    </w:p>
    <w:p w14:paraId="1B9F01D3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3E15B679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policyId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number (generated unique identifier)  </w:t>
      </w:r>
    </w:p>
    <w:p w14:paraId="620609FC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policyNumber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string (e.g., "POL-&lt;timestamp&gt;")  </w:t>
      </w:r>
    </w:p>
    <w:p w14:paraId="1CB9F412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status: string (typically "pending" at creation)  </w:t>
      </w:r>
    </w:p>
    <w:p w14:paraId="24D5231E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message: string (confirmation message, e.g., "Policy created and submitted for underwriting.")  </w:t>
      </w:r>
    </w:p>
    <w:p w14:paraId="1FB101CE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49EEF62" w14:textId="77777777" w:rsidR="00226588" w:rsidRPr="00F34BD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 w:cs="Courier New"/>
          <w:sz w:val="22"/>
          <w:szCs w:val="22"/>
        </w:rPr>
      </w:pPr>
      <w:r w:rsidRPr="00F34BD8">
        <w:rPr>
          <w:rFonts w:asciiTheme="minorHAnsi" w:hAnsiTheme="minorHAnsi" w:cs="Courier New"/>
          <w:sz w:val="22"/>
          <w:szCs w:val="22"/>
        </w:rPr>
        <w:t xml:space="preserve">· Errors:  </w:t>
      </w:r>
    </w:p>
    <w:p w14:paraId="4052819B" w14:textId="77777777" w:rsidR="00226588" w:rsidRPr="00F34BD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 w:cs="Courier New"/>
          <w:sz w:val="22"/>
          <w:szCs w:val="22"/>
        </w:rPr>
      </w:pPr>
      <w:r w:rsidRPr="00F34BD8">
        <w:rPr>
          <w:rFonts w:asciiTheme="minorHAnsi" w:hAnsiTheme="minorHAnsi" w:cs="Courier New"/>
          <w:sz w:val="22"/>
          <w:szCs w:val="22"/>
        </w:rPr>
        <w:t xml:space="preserve">  - 400 Invalid Data  </w:t>
      </w:r>
    </w:p>
    <w:p w14:paraId="3842EC94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{ error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>: "Invalid policy data.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" }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 xml:space="preserve">  </w:t>
      </w:r>
    </w:p>
    <w:p w14:paraId="7A7AB85D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0FFB661" w14:textId="77777777" w:rsidR="00226588" w:rsidRPr="00F34BD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lastRenderedPageBreak/>
        <w:t xml:space="preserve"> </w:t>
      </w:r>
      <w:r w:rsidRPr="00F34BD8">
        <w:rPr>
          <w:rFonts w:asciiTheme="minorHAnsi" w:hAnsiTheme="minorHAnsi" w:cs="Courier New"/>
          <w:sz w:val="22"/>
          <w:szCs w:val="22"/>
        </w:rPr>
        <w:t xml:space="preserve"> - 403 Unauthorized  </w:t>
      </w:r>
    </w:p>
    <w:p w14:paraId="7D0484F8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{ error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>: "Unauthorized.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" }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 xml:space="preserve">  </w:t>
      </w:r>
    </w:p>
    <w:p w14:paraId="316E2737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69E32C0A" w14:textId="77777777" w:rsidR="00226588" w:rsidRPr="00F34BD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 w:cs="Courier New"/>
          <w:sz w:val="20"/>
          <w:szCs w:val="20"/>
        </w:rPr>
      </w:pPr>
      <w:r w:rsidRPr="00F34BD8">
        <w:rPr>
          <w:rFonts w:asciiTheme="minorHAnsi" w:hAnsiTheme="minorHAnsi" w:cs="Courier New"/>
          <w:sz w:val="22"/>
          <w:szCs w:val="22"/>
        </w:rPr>
        <w:t xml:space="preserve">  - 500 Workflow Error (internal workflow / database failure)  </w:t>
      </w:r>
    </w:p>
    <w:p w14:paraId="4B1D6B47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{ error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>: "Workflow error while creating policy.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" }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 xml:space="preserve">  </w:t>
      </w:r>
    </w:p>
    <w:p w14:paraId="42A94EFF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4485C0F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70099F9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</w:p>
    <w:p w14:paraId="0D1F95F0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  <w:r w:rsidRPr="00226588">
        <w:rPr>
          <w:rFonts w:asciiTheme="minorHAnsi" w:hAnsiTheme="minorHAnsi"/>
          <w:sz w:val="22"/>
          <w:szCs w:val="22"/>
        </w:rPr>
        <w:t>Endpoint 2: /</w:t>
      </w:r>
      <w:proofErr w:type="spellStart"/>
      <w:r w:rsidRPr="00226588">
        <w:rPr>
          <w:rFonts w:asciiTheme="minorHAnsi" w:hAnsiTheme="minorHAnsi"/>
          <w:sz w:val="22"/>
          <w:szCs w:val="22"/>
        </w:rPr>
        <w:t>api</w:t>
      </w:r>
      <w:proofErr w:type="spellEnd"/>
      <w:r w:rsidRPr="00226588">
        <w:rPr>
          <w:rFonts w:asciiTheme="minorHAnsi" w:hAnsiTheme="minorHAnsi"/>
          <w:sz w:val="22"/>
          <w:szCs w:val="22"/>
        </w:rPr>
        <w:t xml:space="preserve">/v1/claims  </w:t>
      </w:r>
    </w:p>
    <w:p w14:paraId="0FC7DFAC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  <w:r w:rsidRPr="00226588">
        <w:rPr>
          <w:rFonts w:asciiTheme="minorHAnsi" w:hAnsiTheme="minorHAnsi"/>
          <w:sz w:val="22"/>
          <w:szCs w:val="22"/>
        </w:rPr>
        <w:t xml:space="preserve">· Method: POST  </w:t>
      </w:r>
    </w:p>
    <w:p w14:paraId="01DC87E7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  <w:r w:rsidRPr="00226588">
        <w:rPr>
          <w:rFonts w:asciiTheme="minorHAnsi" w:hAnsiTheme="minorHAnsi"/>
          <w:sz w:val="22"/>
          <w:szCs w:val="22"/>
        </w:rPr>
        <w:t xml:space="preserve">· Description: Submits a claim for an existing policy, performs eligibility and fraud checks, auto-assigns the claim to an adjuster or analyst, creates a notification, and starts SLA tracking.  </w:t>
      </w:r>
    </w:p>
    <w:p w14:paraId="04566829" w14:textId="77777777" w:rsidR="00226588" w:rsidRPr="0022658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/>
          <w:sz w:val="22"/>
          <w:szCs w:val="22"/>
        </w:rPr>
      </w:pPr>
    </w:p>
    <w:p w14:paraId="01E6AC11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· Request:  </w:t>
      </w:r>
    </w:p>
    <w:p w14:paraId="0963B102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{  </w:t>
      </w:r>
    </w:p>
    <w:p w14:paraId="508A3DB9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policyId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626EBB47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claimDetails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{  </w:t>
      </w:r>
    </w:p>
    <w:p w14:paraId="4D137360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   type,  </w:t>
      </w:r>
    </w:p>
    <w:p w14:paraId="7E3E08E1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   amount,  </w:t>
      </w:r>
    </w:p>
    <w:p w14:paraId="2CE7AC3B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   description  </w:t>
      </w:r>
    </w:p>
    <w:p w14:paraId="4EC71D16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},  </w:t>
      </w:r>
    </w:p>
    <w:p w14:paraId="47B3C409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documents  </w:t>
      </w:r>
    </w:p>
    <w:p w14:paraId="56746E73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}  </w:t>
      </w:r>
    </w:p>
    <w:p w14:paraId="4BBE222B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831B724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· Request field details:  </w:t>
      </w:r>
    </w:p>
    <w:p w14:paraId="064BD306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policyId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number, required  </w:t>
      </w:r>
    </w:p>
    <w:p w14:paraId="25EB32B8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claimDetails.type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string, required (e.g., "hospitalization", "theft")  </w:t>
      </w:r>
    </w:p>
    <w:p w14:paraId="4B0596C2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claimDetails.amount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number, required  </w:t>
      </w:r>
    </w:p>
    <w:p w14:paraId="3075691E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lastRenderedPageBreak/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claimDetails.description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string, required  </w:t>
      </w:r>
    </w:p>
    <w:p w14:paraId="234E792B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documents: list of strings (optional, e.g., file names or references)  </w:t>
      </w:r>
    </w:p>
    <w:p w14:paraId="148B3539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3B8593F0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· Response (success – 201 Created):  </w:t>
      </w:r>
    </w:p>
    <w:p w14:paraId="0E893BED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{  </w:t>
      </w:r>
    </w:p>
    <w:p w14:paraId="41CCAF7D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claimId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647537AF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claimNumber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7FE61647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status,  </w:t>
      </w:r>
    </w:p>
    <w:p w14:paraId="38F19C9A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settlementAmount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28118EB2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fraudScore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,  </w:t>
      </w:r>
    </w:p>
    <w:p w14:paraId="449C18D5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  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isFlagged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  </w:t>
      </w:r>
    </w:p>
    <w:p w14:paraId="337178E0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}  </w:t>
      </w:r>
    </w:p>
    <w:p w14:paraId="2336E685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C363830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claimId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number (generated unique identifier)  </w:t>
      </w:r>
    </w:p>
    <w:p w14:paraId="171641F0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claimNumber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string (e.g., "CLM-&lt;timestamp&gt;")  </w:t>
      </w:r>
    </w:p>
    <w:p w14:paraId="4BEC4604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status: string (e.g., "submitted" or "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under_review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")  </w:t>
      </w:r>
    </w:p>
    <w:p w14:paraId="4246D946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settlementAmount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number or null (null at submission; filled when claim is settled)  </w:t>
      </w:r>
    </w:p>
    <w:p w14:paraId="330A39C2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fraudScore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number (calculated risk score)  </w:t>
      </w:r>
    </w:p>
    <w:p w14:paraId="2A568D76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-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isFlagged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 (true if </w:t>
      </w:r>
      <w:proofErr w:type="spellStart"/>
      <w:r w:rsidRPr="00793A5F">
        <w:rPr>
          <w:rFonts w:ascii="Courier New" w:hAnsi="Courier New" w:cs="Courier New"/>
          <w:sz w:val="20"/>
          <w:szCs w:val="20"/>
        </w:rPr>
        <w:t>fraudScore</w:t>
      </w:r>
      <w:proofErr w:type="spellEnd"/>
      <w:r w:rsidRPr="00793A5F">
        <w:rPr>
          <w:rFonts w:ascii="Courier New" w:hAnsi="Courier New" w:cs="Courier New"/>
          <w:sz w:val="20"/>
          <w:szCs w:val="20"/>
        </w:rPr>
        <w:t xml:space="preserve"> is above threshold)  </w:t>
      </w:r>
    </w:p>
    <w:p w14:paraId="557DB45E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27D6572" w14:textId="77777777" w:rsidR="00226588" w:rsidRPr="00F34BD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 w:cs="Courier New"/>
          <w:sz w:val="22"/>
          <w:szCs w:val="22"/>
        </w:rPr>
      </w:pPr>
      <w:r w:rsidRPr="00F34BD8">
        <w:rPr>
          <w:rFonts w:asciiTheme="minorHAnsi" w:hAnsiTheme="minorHAnsi" w:cs="Courier New"/>
          <w:sz w:val="22"/>
          <w:szCs w:val="22"/>
        </w:rPr>
        <w:t xml:space="preserve">· Errors:  </w:t>
      </w:r>
    </w:p>
    <w:p w14:paraId="2FA9A473" w14:textId="77777777" w:rsidR="00226588" w:rsidRPr="00F34BD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 w:cs="Courier New"/>
          <w:sz w:val="22"/>
          <w:szCs w:val="22"/>
        </w:rPr>
      </w:pPr>
      <w:r w:rsidRPr="00F34BD8">
        <w:rPr>
          <w:rFonts w:asciiTheme="minorHAnsi" w:hAnsiTheme="minorHAnsi" w:cs="Courier New"/>
          <w:sz w:val="22"/>
          <w:szCs w:val="22"/>
        </w:rPr>
        <w:t xml:space="preserve">  - 404 Policy Not Found  </w:t>
      </w:r>
    </w:p>
    <w:p w14:paraId="1A16A80C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{ error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>: "Policy not active or not found.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" }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 xml:space="preserve">  </w:t>
      </w:r>
    </w:p>
    <w:p w14:paraId="723986C9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3F4B03A" w14:textId="77777777" w:rsidR="00226588" w:rsidRPr="00F34BD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 w:cs="Courier New"/>
          <w:sz w:val="22"/>
          <w:szCs w:val="22"/>
        </w:rPr>
      </w:pPr>
      <w:r w:rsidRPr="00F34BD8">
        <w:rPr>
          <w:rFonts w:asciiTheme="minorHAnsi" w:hAnsiTheme="minorHAnsi" w:cs="Courier New"/>
          <w:sz w:val="22"/>
          <w:szCs w:val="22"/>
        </w:rPr>
        <w:t xml:space="preserve">  - 422 Invalid Claim  </w:t>
      </w:r>
    </w:p>
    <w:p w14:paraId="7D19676D" w14:textId="77777777" w:rsidR="00226588" w:rsidRPr="00F34BD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 w:cs="Courier New"/>
          <w:sz w:val="22"/>
          <w:szCs w:val="22"/>
        </w:rPr>
      </w:pPr>
      <w:r w:rsidRPr="00F34BD8">
        <w:rPr>
          <w:rFonts w:asciiTheme="minorHAnsi" w:hAnsiTheme="minorHAnsi" w:cs="Courier New"/>
          <w:sz w:val="22"/>
          <w:szCs w:val="22"/>
        </w:rPr>
        <w:t xml:space="preserve">    Examples:  </w:t>
      </w:r>
    </w:p>
    <w:p w14:paraId="52A1AFF1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{ error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>: "Claim amount exceeds coverage.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" }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 xml:space="preserve">  </w:t>
      </w:r>
    </w:p>
    <w:p w14:paraId="1FE78765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{ error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>: "Duplicate claim detected.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" }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 xml:space="preserve">  </w:t>
      </w:r>
    </w:p>
    <w:p w14:paraId="1041F52D" w14:textId="77777777" w:rsidR="00226588" w:rsidRPr="00793A5F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D677DC3" w14:textId="77777777" w:rsidR="00226588" w:rsidRPr="00F34BD8" w:rsidRDefault="00226588" w:rsidP="00F34BD8">
      <w:pPr>
        <w:pStyle w:val="HorizontalLine"/>
        <w:pBdr>
          <w:bottom w:val="double" w:sz="2" w:space="10" w:color="808080"/>
        </w:pBdr>
        <w:spacing w:line="240" w:lineRule="auto"/>
        <w:rPr>
          <w:rFonts w:asciiTheme="minorHAnsi" w:hAnsiTheme="minorHAnsi" w:cs="Courier New"/>
          <w:sz w:val="22"/>
          <w:szCs w:val="22"/>
        </w:rPr>
      </w:pPr>
      <w:r w:rsidRPr="00F34BD8">
        <w:rPr>
          <w:rFonts w:asciiTheme="minorHAnsi" w:hAnsiTheme="minorHAnsi" w:cs="Courier New"/>
          <w:sz w:val="22"/>
          <w:szCs w:val="22"/>
        </w:rPr>
        <w:t xml:space="preserve">  - 500 Internal Error  </w:t>
      </w:r>
    </w:p>
    <w:p w14:paraId="16508772" w14:textId="79CD86A5" w:rsidR="001628B4" w:rsidRDefault="00226588" w:rsidP="00F34BD8">
      <w:pPr>
        <w:pStyle w:val="HorizontalLine"/>
        <w:pBdr>
          <w:bottom w:val="double" w:sz="2" w:space="10" w:color="808080"/>
        </w:pBdr>
        <w:spacing w:after="200" w:line="240" w:lineRule="auto"/>
        <w:rPr>
          <w:rFonts w:ascii="Courier New" w:hAnsi="Courier New" w:cs="Courier New"/>
          <w:sz w:val="20"/>
          <w:szCs w:val="20"/>
        </w:rPr>
      </w:pPr>
      <w:r w:rsidRPr="00793A5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{ error</w:t>
      </w:r>
      <w:proofErr w:type="gramEnd"/>
      <w:r w:rsidRPr="00793A5F">
        <w:rPr>
          <w:rFonts w:ascii="Courier New" w:hAnsi="Courier New" w:cs="Courier New"/>
          <w:sz w:val="20"/>
          <w:szCs w:val="20"/>
        </w:rPr>
        <w:t>: "Internal error while submitting claim.</w:t>
      </w:r>
      <w:proofErr w:type="gramStart"/>
      <w:r w:rsidRPr="00793A5F">
        <w:rPr>
          <w:rFonts w:ascii="Courier New" w:hAnsi="Courier New" w:cs="Courier New"/>
          <w:sz w:val="20"/>
          <w:szCs w:val="20"/>
        </w:rPr>
        <w:t>" }</w:t>
      </w:r>
      <w:proofErr w:type="gramEnd"/>
    </w:p>
    <w:p w14:paraId="3CE0AB3F" w14:textId="77777777" w:rsidR="002B2028" w:rsidRPr="002B2028" w:rsidRDefault="002B2028" w:rsidP="002B2028">
      <w:pPr>
        <w:pStyle w:val="BodyText"/>
        <w:rPr>
          <w:b/>
          <w:bCs/>
          <w:color w:val="0070C0"/>
        </w:rPr>
      </w:pPr>
      <w:r w:rsidRPr="002B2028">
        <w:rPr>
          <w:b/>
          <w:bCs/>
          <w:color w:val="0070C0"/>
        </w:rPr>
        <w:t xml:space="preserve">4.4 Error Handling, Logging &amp; Monitoring  </w:t>
      </w:r>
    </w:p>
    <w:p w14:paraId="121653DA" w14:textId="77777777" w:rsidR="002B2028" w:rsidRDefault="002B2028" w:rsidP="002B2028">
      <w:pPr>
        <w:pStyle w:val="BodyText"/>
      </w:pPr>
      <w:r>
        <w:t xml:space="preserve">· Centralized structured logging (e.g., ELK stack / CloudWatch / Azure Monitor) for all backend services  </w:t>
      </w:r>
    </w:p>
    <w:p w14:paraId="7D9B7C00" w14:textId="77777777" w:rsidR="002B2028" w:rsidRDefault="002B2028" w:rsidP="002B2028">
      <w:pPr>
        <w:pStyle w:val="BodyText"/>
      </w:pPr>
      <w:r>
        <w:t xml:space="preserve">· No PII (Personally Identifiable Information), passwords or secrets written to logs  </w:t>
      </w:r>
    </w:p>
    <w:p w14:paraId="50F119D7" w14:textId="77777777" w:rsidR="002B2028" w:rsidRDefault="002B2028" w:rsidP="002B2028">
      <w:pPr>
        <w:pStyle w:val="BodyText"/>
      </w:pPr>
      <w:r>
        <w:t xml:space="preserve">· Correlation IDs to trace end‑to‑end API requests, background jobs and workflows  </w:t>
      </w:r>
    </w:p>
    <w:p w14:paraId="4C79211A" w14:textId="77777777" w:rsidR="002B2028" w:rsidRDefault="002B2028" w:rsidP="002B2028">
      <w:pPr>
        <w:pStyle w:val="BodyText"/>
      </w:pPr>
      <w:r>
        <w:t xml:space="preserve">· Standardized error codes and messages returned from all APIs (client‑safe messages, server‑side details in logs)  </w:t>
      </w:r>
    </w:p>
    <w:p w14:paraId="5DF7ADAC" w14:textId="77777777" w:rsidR="002B2028" w:rsidRDefault="002B2028" w:rsidP="002B2028">
      <w:pPr>
        <w:pStyle w:val="BodyText"/>
      </w:pPr>
      <w:r>
        <w:t xml:space="preserve">· Graceful error handling and user‑friendly error pages/messages on the UI  </w:t>
      </w:r>
    </w:p>
    <w:p w14:paraId="01CE876A" w14:textId="77777777" w:rsidR="002B2028" w:rsidRDefault="002B2028" w:rsidP="002B2028">
      <w:pPr>
        <w:pStyle w:val="BodyText"/>
      </w:pPr>
      <w:r>
        <w:t xml:space="preserve">· Workflow retries with exponential backoff for transient errors (DB timeouts, network failures, third‑party API issues)  </w:t>
      </w:r>
    </w:p>
    <w:p w14:paraId="6B2D9E82" w14:textId="77777777" w:rsidR="002B2028" w:rsidRDefault="002B2028" w:rsidP="002B2028">
      <w:pPr>
        <w:pStyle w:val="BodyText"/>
      </w:pPr>
      <w:r>
        <w:t xml:space="preserve">· SLA tracking for key entities (policies and claims) across creation, review, approval, settlement/closure  </w:t>
      </w:r>
    </w:p>
    <w:p w14:paraId="5026D97D" w14:textId="77777777" w:rsidR="002B2028" w:rsidRDefault="002B2028" w:rsidP="002B2028">
      <w:pPr>
        <w:pStyle w:val="BodyText"/>
      </w:pPr>
      <w:r>
        <w:t xml:space="preserve">· Real‑time dashboards for:  </w:t>
      </w:r>
    </w:p>
    <w:p w14:paraId="7D726F57" w14:textId="77777777" w:rsidR="002B2028" w:rsidRDefault="002B2028" w:rsidP="002B2028">
      <w:pPr>
        <w:pStyle w:val="BodyText"/>
      </w:pPr>
      <w:r>
        <w:t xml:space="preserve">  – Error rates, failed jobs and failed workflows  </w:t>
      </w:r>
    </w:p>
    <w:p w14:paraId="2A266221" w14:textId="77777777" w:rsidR="002B2028" w:rsidRDefault="002B2028" w:rsidP="002B2028">
      <w:pPr>
        <w:pStyle w:val="BodyText"/>
      </w:pPr>
      <w:r>
        <w:t xml:space="preserve">  – SLA breaches and near‑breach alerts for policies and claims  </w:t>
      </w:r>
    </w:p>
    <w:p w14:paraId="1D8F59D7" w14:textId="77777777" w:rsidR="002B2028" w:rsidRDefault="002B2028" w:rsidP="002B2028">
      <w:pPr>
        <w:pStyle w:val="BodyText"/>
      </w:pPr>
      <w:r>
        <w:t xml:space="preserve">  – Fraud‑flagged claims and other high‑risk activities  </w:t>
      </w:r>
    </w:p>
    <w:p w14:paraId="1F765C62" w14:textId="77777777" w:rsidR="002B2028" w:rsidRDefault="002B2028" w:rsidP="002B2028">
      <w:pPr>
        <w:pStyle w:val="BodyText"/>
      </w:pPr>
      <w:r>
        <w:t xml:space="preserve">· Alerting and notifications for critical incidents (e.g., repeated failures, database unavailability, abnormal error spikes)  </w:t>
      </w:r>
    </w:p>
    <w:p w14:paraId="1AC2D5D3" w14:textId="77777777" w:rsidR="002B2028" w:rsidRDefault="002B2028" w:rsidP="002B2028">
      <w:pPr>
        <w:pStyle w:val="BodyText"/>
      </w:pPr>
      <w:r>
        <w:t xml:space="preserve">· Periodic review of logs and dashboards by operations and security teams  </w:t>
      </w:r>
    </w:p>
    <w:p w14:paraId="5413193D" w14:textId="77777777" w:rsidR="002B2028" w:rsidRPr="002B2028" w:rsidRDefault="002B2028" w:rsidP="002B2028">
      <w:pPr>
        <w:pStyle w:val="BodyText"/>
        <w:rPr>
          <w:b/>
          <w:bCs/>
          <w:color w:val="0070C0"/>
        </w:rPr>
      </w:pPr>
    </w:p>
    <w:p w14:paraId="7BBC213B" w14:textId="77777777" w:rsidR="002B2028" w:rsidRPr="002B2028" w:rsidRDefault="002B2028" w:rsidP="002B2028">
      <w:pPr>
        <w:pStyle w:val="BodyText"/>
        <w:rPr>
          <w:b/>
          <w:bCs/>
          <w:color w:val="0070C0"/>
        </w:rPr>
      </w:pPr>
      <w:r w:rsidRPr="002B2028">
        <w:rPr>
          <w:b/>
          <w:bCs/>
          <w:color w:val="0070C0"/>
        </w:rPr>
        <w:t xml:space="preserve">4.5 UX Design  </w:t>
      </w:r>
    </w:p>
    <w:p w14:paraId="7B53E019" w14:textId="77777777" w:rsidR="002B2028" w:rsidRDefault="002B2028" w:rsidP="002B2028">
      <w:pPr>
        <w:pStyle w:val="BodyText"/>
      </w:pPr>
      <w:r>
        <w:t xml:space="preserve">· Responsive web UI optimized for desktop, tablet, and mobile devices  </w:t>
      </w:r>
    </w:p>
    <w:p w14:paraId="5BC90F19" w14:textId="77777777" w:rsidR="002B2028" w:rsidRDefault="002B2028" w:rsidP="002B2028">
      <w:pPr>
        <w:pStyle w:val="BodyText"/>
      </w:pPr>
      <w:r>
        <w:t xml:space="preserve">· Clear, step‑by‑step flows for policy creation, policy review, claim submission and claim decisioning  </w:t>
      </w:r>
    </w:p>
    <w:p w14:paraId="4B552133" w14:textId="77777777" w:rsidR="002B2028" w:rsidRDefault="002B2028" w:rsidP="002B2028">
      <w:pPr>
        <w:pStyle w:val="BodyText"/>
      </w:pPr>
      <w:r>
        <w:t xml:space="preserve">· Role‑based dashboards:  </w:t>
      </w:r>
    </w:p>
    <w:p w14:paraId="1BE789AE" w14:textId="77777777" w:rsidR="002B2028" w:rsidRDefault="002B2028" w:rsidP="002B2028">
      <w:pPr>
        <w:pStyle w:val="BodyText"/>
      </w:pPr>
      <w:r>
        <w:t xml:space="preserve">  – Customer: view policies, claims, notifications, SLA status and important alerts  </w:t>
      </w:r>
    </w:p>
    <w:p w14:paraId="1C999E1F" w14:textId="77777777" w:rsidR="002B2028" w:rsidRDefault="002B2028" w:rsidP="002B2028">
      <w:pPr>
        <w:pStyle w:val="BodyText"/>
      </w:pPr>
      <w:r>
        <w:t xml:space="preserve">  – Underwriter: queue of pending policies, risk indicators, workload and SLAs  </w:t>
      </w:r>
    </w:p>
    <w:p w14:paraId="4C53D0CB" w14:textId="77777777" w:rsidR="002B2028" w:rsidRDefault="002B2028" w:rsidP="002B2028">
      <w:pPr>
        <w:pStyle w:val="BodyText"/>
      </w:pPr>
      <w:r>
        <w:t xml:space="preserve">  – Adjuster / Analyst: assigned claims, fraud flags, prioritization by SLA and risk  </w:t>
      </w:r>
    </w:p>
    <w:p w14:paraId="467DEB2A" w14:textId="77777777" w:rsidR="002B2028" w:rsidRDefault="002B2028" w:rsidP="002B2028">
      <w:pPr>
        <w:pStyle w:val="BodyText"/>
      </w:pPr>
      <w:r>
        <w:t xml:space="preserve">  – Manager / Admin: high‑level KPIs, SLAs, compliance and audit logs overview  </w:t>
      </w:r>
    </w:p>
    <w:p w14:paraId="67B387EB" w14:textId="77777777" w:rsidR="002B2028" w:rsidRDefault="002B2028" w:rsidP="002B2028">
      <w:pPr>
        <w:pStyle w:val="BodyText"/>
      </w:pPr>
      <w:r>
        <w:t xml:space="preserve">· Consistent design system (colors, typography, components) reused across the portal  </w:t>
      </w:r>
    </w:p>
    <w:p w14:paraId="6D721E28" w14:textId="77777777" w:rsidR="002B2028" w:rsidRDefault="002B2028" w:rsidP="002B2028">
      <w:pPr>
        <w:pStyle w:val="BodyText"/>
      </w:pPr>
      <w:r>
        <w:t xml:space="preserve">· Multilingual support (English by default, extensible to additional regional languages)  </w:t>
      </w:r>
    </w:p>
    <w:p w14:paraId="4DFBD1ED" w14:textId="77777777" w:rsidR="002B2028" w:rsidRDefault="002B2028" w:rsidP="002B2028">
      <w:pPr>
        <w:pStyle w:val="BodyText"/>
      </w:pPr>
      <w:r>
        <w:t xml:space="preserve">· Accessibility support aligned with WCAG guidelines:  </w:t>
      </w:r>
    </w:p>
    <w:p w14:paraId="50B1526E" w14:textId="77777777" w:rsidR="002B2028" w:rsidRDefault="002B2028" w:rsidP="002B2028">
      <w:pPr>
        <w:pStyle w:val="BodyText"/>
      </w:pPr>
      <w:r>
        <w:lastRenderedPageBreak/>
        <w:t xml:space="preserve">  – High‑contrast themes and scalable fonts  </w:t>
      </w:r>
    </w:p>
    <w:p w14:paraId="3DB41DED" w14:textId="77777777" w:rsidR="002B2028" w:rsidRDefault="002B2028" w:rsidP="002B2028">
      <w:pPr>
        <w:pStyle w:val="BodyText"/>
      </w:pPr>
      <w:r>
        <w:t xml:space="preserve">  – Keyboard‑only navigation for all critical flows  </w:t>
      </w:r>
    </w:p>
    <w:p w14:paraId="41ECF061" w14:textId="77777777" w:rsidR="002B2028" w:rsidRDefault="002B2028" w:rsidP="002B2028">
      <w:pPr>
        <w:pStyle w:val="BodyText"/>
      </w:pPr>
      <w:r>
        <w:t xml:space="preserve">  – Screen‑reader‑friendly labels, headings and ARIA attributes  </w:t>
      </w:r>
    </w:p>
    <w:p w14:paraId="39CE8691" w14:textId="77777777" w:rsidR="002B2028" w:rsidRDefault="002B2028" w:rsidP="002B2028">
      <w:pPr>
        <w:pStyle w:val="BodyText"/>
      </w:pPr>
      <w:r>
        <w:t xml:space="preserve">· Clear user feedback throughout journeys (success states, inline validation errors, loading/progress indicators, empty‑state messages)  </w:t>
      </w:r>
    </w:p>
    <w:p w14:paraId="5CD16921" w14:textId="0C2D0BAF" w:rsidR="002B2028" w:rsidRDefault="002B2028" w:rsidP="002B2028">
      <w:pPr>
        <w:pStyle w:val="BodyText"/>
      </w:pPr>
      <w:r>
        <w:t xml:space="preserve">· Simple, intuitive navigation with minimal steps to complete core tasks (buy policy, file claim, track status)  </w:t>
      </w:r>
    </w:p>
    <w:p w14:paraId="68BAEF7A" w14:textId="77777777" w:rsidR="002B2028" w:rsidRDefault="002B2028" w:rsidP="002B2028">
      <w:pPr>
        <w:pStyle w:val="BodyText"/>
      </w:pPr>
    </w:p>
    <w:p w14:paraId="66820903" w14:textId="77777777" w:rsidR="002B2028" w:rsidRPr="002B2028" w:rsidRDefault="002B2028" w:rsidP="002B2028">
      <w:pPr>
        <w:pStyle w:val="BodyText"/>
        <w:rPr>
          <w:b/>
          <w:bCs/>
          <w:color w:val="0070C0"/>
        </w:rPr>
      </w:pPr>
      <w:r w:rsidRPr="002B2028">
        <w:rPr>
          <w:b/>
          <w:bCs/>
          <w:color w:val="0070C0"/>
        </w:rPr>
        <w:t xml:space="preserve">4.6 Open Issues &amp; Next Steps  </w:t>
      </w:r>
    </w:p>
    <w:p w14:paraId="25A0B54C" w14:textId="77777777" w:rsidR="002B2028" w:rsidRDefault="002B2028" w:rsidP="002B2028">
      <w:pPr>
        <w:pStyle w:val="BodyText"/>
      </w:pPr>
      <w:r>
        <w:t xml:space="preserve">· Integrate advanced AI‑driven fraud scoring using historical policy and claim data  </w:t>
      </w:r>
    </w:p>
    <w:p w14:paraId="2157EC18" w14:textId="77777777" w:rsidR="002B2028" w:rsidRDefault="002B2028" w:rsidP="002B2028">
      <w:pPr>
        <w:pStyle w:val="BodyText"/>
      </w:pPr>
      <w:r>
        <w:t xml:space="preserve">· Add chat‑based claim and policy support (virtual assistant with escalation to human agents)  </w:t>
      </w:r>
    </w:p>
    <w:p w14:paraId="45091322" w14:textId="77777777" w:rsidR="002B2028" w:rsidRDefault="002B2028" w:rsidP="002B2028">
      <w:pPr>
        <w:pStyle w:val="BodyText"/>
      </w:pPr>
      <w:r>
        <w:t xml:space="preserve">· Automate regulatory, compliance and management report generation (scheduled and on‑demand)  </w:t>
      </w:r>
    </w:p>
    <w:p w14:paraId="082FE4F5" w14:textId="77777777" w:rsidR="002B2028" w:rsidRDefault="002B2028" w:rsidP="002B2028">
      <w:pPr>
        <w:pStyle w:val="BodyText"/>
      </w:pPr>
      <w:r>
        <w:t xml:space="preserve">· Implement more fine‑grained audit trails for all critical user actions (view, create, update, approve, reject, override)  </w:t>
      </w:r>
    </w:p>
    <w:p w14:paraId="306F4A2B" w14:textId="77777777" w:rsidR="002B2028" w:rsidRDefault="002B2028" w:rsidP="002B2028">
      <w:pPr>
        <w:pStyle w:val="BodyText"/>
      </w:pPr>
      <w:r>
        <w:t xml:space="preserve">· Further harden security (rate limiting, IP allow‑listing where applicable, enhanced authentication and MFA rollout)  </w:t>
      </w:r>
    </w:p>
    <w:p w14:paraId="387D322E" w14:textId="77777777" w:rsidR="002B2028" w:rsidRDefault="002B2028" w:rsidP="002B2028">
      <w:pPr>
        <w:pStyle w:val="BodyText"/>
      </w:pPr>
      <w:r>
        <w:t xml:space="preserve">· Expand notification channels (email / SMS / in‑app / push) with configurable user preferences  </w:t>
      </w:r>
    </w:p>
    <w:p w14:paraId="35FAF164" w14:textId="77777777" w:rsidR="002B2028" w:rsidRDefault="002B2028" w:rsidP="002B2028">
      <w:pPr>
        <w:pStyle w:val="BodyText"/>
      </w:pPr>
      <w:r>
        <w:t xml:space="preserve">· Introduce self‑service configuration for SLAs, workflows and notification rules  </w:t>
      </w:r>
    </w:p>
    <w:p w14:paraId="2D3556F3" w14:textId="770B6BA2" w:rsidR="002B2028" w:rsidRPr="002B2028" w:rsidRDefault="002B2028" w:rsidP="002B2028">
      <w:pPr>
        <w:pStyle w:val="BodyText"/>
      </w:pPr>
      <w:r>
        <w:t>· Perform performance tuning, capacity planning and load testing for peak usage periods (e.g., renewal seasons, catastrophe events)</w:t>
      </w:r>
    </w:p>
    <w:p w14:paraId="0AE40A24" w14:textId="77777777" w:rsidR="001628B4" w:rsidRDefault="00000000">
      <w:pPr>
        <w:pStyle w:val="Heading2"/>
        <w:spacing w:before="0" w:after="200"/>
      </w:pPr>
      <w:r>
        <w:rPr>
          <w:rStyle w:val="Strong"/>
          <w:b/>
        </w:rPr>
        <w:t>5. Appendices</w:t>
      </w:r>
    </w:p>
    <w:p w14:paraId="6965CA5D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5.1 Glossary</w:t>
      </w:r>
    </w:p>
    <w:tbl>
      <w:tblPr>
        <w:tblW w:w="4802" w:type="dxa"/>
        <w:tblLayout w:type="fixed"/>
        <w:tblCellMar>
          <w:left w:w="0" w:type="dxa"/>
          <w:right w:w="283" w:type="dxa"/>
        </w:tblCellMar>
        <w:tblLook w:val="04A0" w:firstRow="1" w:lastRow="0" w:firstColumn="1" w:lastColumn="0" w:noHBand="0" w:noVBand="1"/>
      </w:tblPr>
      <w:tblGrid>
        <w:gridCol w:w="964"/>
        <w:gridCol w:w="3838"/>
      </w:tblGrid>
      <w:tr w:rsidR="001628B4" w14:paraId="01D8EB2A" w14:textId="77777777">
        <w:tc>
          <w:tcPr>
            <w:tcW w:w="964" w:type="dxa"/>
            <w:shd w:val="clear" w:color="auto" w:fill="2A6099"/>
            <w:vAlign w:val="center"/>
          </w:tcPr>
          <w:p w14:paraId="01112FF9" w14:textId="77777777" w:rsidR="001628B4" w:rsidRDefault="00000000">
            <w:pPr>
              <w:pStyle w:val="TableHeading"/>
              <w:jc w:val="left"/>
              <w:rPr>
                <w:rFonts w:ascii="Segoe UI" w:hAnsi="Segoe UI"/>
                <w:color w:val="FFFFFF"/>
                <w:sz w:val="24"/>
                <w:szCs w:val="24"/>
              </w:rPr>
            </w:pPr>
            <w:r>
              <w:rPr>
                <w:rFonts w:ascii="Segoe UI" w:hAnsi="Segoe UI"/>
                <w:color w:val="FFFFFF"/>
                <w:sz w:val="24"/>
                <w:szCs w:val="24"/>
              </w:rPr>
              <w:t>Term</w:t>
            </w:r>
          </w:p>
        </w:tc>
        <w:tc>
          <w:tcPr>
            <w:tcW w:w="3838" w:type="dxa"/>
            <w:shd w:val="clear" w:color="auto" w:fill="2A6099"/>
            <w:vAlign w:val="center"/>
          </w:tcPr>
          <w:p w14:paraId="0B6A234D" w14:textId="77777777" w:rsidR="001628B4" w:rsidRDefault="00000000">
            <w:pPr>
              <w:pStyle w:val="TableHeading"/>
              <w:jc w:val="left"/>
              <w:rPr>
                <w:rFonts w:ascii="Segoe UI" w:hAnsi="Segoe UI"/>
                <w:color w:val="FFFFFF"/>
                <w:sz w:val="24"/>
                <w:szCs w:val="24"/>
              </w:rPr>
            </w:pPr>
            <w:r>
              <w:rPr>
                <w:rFonts w:ascii="Segoe UI" w:hAnsi="Segoe UI"/>
                <w:color w:val="FFFFFF"/>
                <w:sz w:val="24"/>
                <w:szCs w:val="24"/>
              </w:rPr>
              <w:t>Definition</w:t>
            </w:r>
          </w:p>
        </w:tc>
      </w:tr>
      <w:tr w:rsidR="001628B4" w14:paraId="436E95F6" w14:textId="77777777">
        <w:tc>
          <w:tcPr>
            <w:tcW w:w="964" w:type="dxa"/>
            <w:vAlign w:val="center"/>
          </w:tcPr>
          <w:p w14:paraId="79C24CFC" w14:textId="77777777" w:rsidR="001628B4" w:rsidRDefault="00000000">
            <w:pPr>
              <w:pStyle w:val="TableContents"/>
              <w:jc w:val="right"/>
              <w:rPr>
                <w:rFonts w:ascii="Segoe UI" w:hAnsi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/>
                <w:b/>
                <w:bCs/>
                <w:color w:val="000000"/>
                <w:sz w:val="24"/>
                <w:szCs w:val="24"/>
              </w:rPr>
              <w:t>IWAS</w:t>
            </w:r>
          </w:p>
        </w:tc>
        <w:tc>
          <w:tcPr>
            <w:tcW w:w="3838" w:type="dxa"/>
            <w:vAlign w:val="center"/>
          </w:tcPr>
          <w:p w14:paraId="2E1053E0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Insurance Workflow Automation Software</w:t>
            </w:r>
          </w:p>
        </w:tc>
      </w:tr>
      <w:tr w:rsidR="001628B4" w14:paraId="45CDB8D0" w14:textId="77777777">
        <w:tc>
          <w:tcPr>
            <w:tcW w:w="964" w:type="dxa"/>
            <w:shd w:val="clear" w:color="auto" w:fill="FFFFFF"/>
            <w:vAlign w:val="center"/>
          </w:tcPr>
          <w:p w14:paraId="047BD331" w14:textId="77777777" w:rsidR="001628B4" w:rsidRDefault="00000000">
            <w:pPr>
              <w:pStyle w:val="TableContents"/>
              <w:jc w:val="right"/>
              <w:rPr>
                <w:rFonts w:ascii="Segoe UI" w:hAnsi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/>
                <w:b/>
                <w:bCs/>
                <w:color w:val="000000"/>
                <w:sz w:val="24"/>
                <w:szCs w:val="24"/>
              </w:rPr>
              <w:t>SLA</w:t>
            </w:r>
          </w:p>
        </w:tc>
        <w:tc>
          <w:tcPr>
            <w:tcW w:w="3838" w:type="dxa"/>
            <w:shd w:val="clear" w:color="auto" w:fill="FFFFFF"/>
            <w:vAlign w:val="center"/>
          </w:tcPr>
          <w:p w14:paraId="1D61A398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Service Level Agreement</w:t>
            </w:r>
          </w:p>
        </w:tc>
      </w:tr>
      <w:tr w:rsidR="001628B4" w14:paraId="6D0C8757" w14:textId="77777777">
        <w:tc>
          <w:tcPr>
            <w:tcW w:w="964" w:type="dxa"/>
            <w:vAlign w:val="center"/>
          </w:tcPr>
          <w:p w14:paraId="0037DF0E" w14:textId="77777777" w:rsidR="001628B4" w:rsidRDefault="00000000">
            <w:pPr>
              <w:pStyle w:val="TableContents"/>
              <w:jc w:val="right"/>
              <w:rPr>
                <w:rFonts w:ascii="Segoe UI" w:hAnsi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/>
                <w:b/>
                <w:bCs/>
                <w:color w:val="000000"/>
                <w:sz w:val="24"/>
                <w:szCs w:val="24"/>
              </w:rPr>
              <w:t>DMS</w:t>
            </w:r>
          </w:p>
        </w:tc>
        <w:tc>
          <w:tcPr>
            <w:tcW w:w="3838" w:type="dxa"/>
            <w:vAlign w:val="center"/>
          </w:tcPr>
          <w:p w14:paraId="7A74C73E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Document Management System</w:t>
            </w:r>
          </w:p>
        </w:tc>
      </w:tr>
      <w:tr w:rsidR="001628B4" w14:paraId="16900613" w14:textId="77777777">
        <w:tc>
          <w:tcPr>
            <w:tcW w:w="964" w:type="dxa"/>
            <w:tcBorders>
              <w:bottom w:val="single" w:sz="6" w:space="0" w:color="000000"/>
            </w:tcBorders>
            <w:vAlign w:val="center"/>
          </w:tcPr>
          <w:p w14:paraId="14B0F989" w14:textId="77777777" w:rsidR="001628B4" w:rsidRDefault="00000000">
            <w:pPr>
              <w:pStyle w:val="TableContents"/>
              <w:jc w:val="right"/>
              <w:rPr>
                <w:rFonts w:ascii="Segoe UI" w:hAnsi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/>
                <w:b/>
                <w:bCs/>
                <w:color w:val="000000"/>
                <w:sz w:val="24"/>
                <w:szCs w:val="24"/>
              </w:rPr>
              <w:t>KYC</w:t>
            </w:r>
          </w:p>
        </w:tc>
        <w:tc>
          <w:tcPr>
            <w:tcW w:w="3838" w:type="dxa"/>
            <w:tcBorders>
              <w:bottom w:val="single" w:sz="6" w:space="0" w:color="000000"/>
            </w:tcBorders>
            <w:vAlign w:val="center"/>
          </w:tcPr>
          <w:p w14:paraId="6461CA05" w14:textId="77777777" w:rsidR="001628B4" w:rsidRDefault="00000000"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Know Your Customer</w:t>
            </w:r>
          </w:p>
        </w:tc>
      </w:tr>
    </w:tbl>
    <w:p w14:paraId="2E45BBBA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5.2 References</w:t>
      </w:r>
    </w:p>
    <w:p w14:paraId="443FAA95" w14:textId="77777777" w:rsidR="001628B4" w:rsidRDefault="00000000">
      <w:pPr>
        <w:pStyle w:val="BodyText"/>
        <w:spacing w:after="200"/>
      </w:pPr>
      <w:r>
        <w:t>IEEE 42010, OWASP ASVS, NIST SP 800-160, IRDAI guidelines</w:t>
      </w:r>
    </w:p>
    <w:p w14:paraId="597FF211" w14:textId="77777777" w:rsidR="001628B4" w:rsidRDefault="00000000">
      <w:pPr>
        <w:pStyle w:val="Heading3"/>
        <w:spacing w:before="0" w:after="200"/>
      </w:pPr>
      <w:r>
        <w:rPr>
          <w:rStyle w:val="Strong"/>
          <w:b/>
        </w:rPr>
        <w:t>5.3 Tools</w:t>
      </w:r>
    </w:p>
    <w:p w14:paraId="1C764B26" w14:textId="77777777" w:rsidR="001628B4" w:rsidRDefault="00000000">
      <w:pPr>
        <w:pStyle w:val="BodyText"/>
        <w:spacing w:after="200"/>
      </w:pPr>
      <w:r>
        <w:t xml:space="preserve">draw.io, </w:t>
      </w:r>
      <w:proofErr w:type="spellStart"/>
      <w:r>
        <w:t>PlantUML</w:t>
      </w:r>
      <w:proofErr w:type="spellEnd"/>
      <w:r>
        <w:t>, Swagger, Kubernetes Dashboard, Grafana</w:t>
      </w:r>
    </w:p>
    <w:sectPr w:rsidR="001628B4">
      <w:pgSz w:w="11906" w:h="16838"/>
      <w:pgMar w:top="964" w:right="1800" w:bottom="964" w:left="180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EC8"/>
    <w:multiLevelType w:val="multilevel"/>
    <w:tmpl w:val="206E83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390363E"/>
    <w:multiLevelType w:val="multilevel"/>
    <w:tmpl w:val="6A2EF5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3BC3E6A"/>
    <w:multiLevelType w:val="multilevel"/>
    <w:tmpl w:val="41FCAB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7F84C5E"/>
    <w:multiLevelType w:val="multilevel"/>
    <w:tmpl w:val="DA8CED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A4E2059"/>
    <w:multiLevelType w:val="multilevel"/>
    <w:tmpl w:val="51D82D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766703D"/>
    <w:multiLevelType w:val="multilevel"/>
    <w:tmpl w:val="5B38FD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A144E01"/>
    <w:multiLevelType w:val="multilevel"/>
    <w:tmpl w:val="9654AE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35D07DB"/>
    <w:multiLevelType w:val="multilevel"/>
    <w:tmpl w:val="1CF8C3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B665507"/>
    <w:multiLevelType w:val="multilevel"/>
    <w:tmpl w:val="5FFCDC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01449A3"/>
    <w:multiLevelType w:val="multilevel"/>
    <w:tmpl w:val="56DE0A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63C0178"/>
    <w:multiLevelType w:val="multilevel"/>
    <w:tmpl w:val="0A8C12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6EB8521A"/>
    <w:multiLevelType w:val="multilevel"/>
    <w:tmpl w:val="0DFE101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75384841"/>
    <w:multiLevelType w:val="multilevel"/>
    <w:tmpl w:val="4A9809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768B7F48"/>
    <w:multiLevelType w:val="multilevel"/>
    <w:tmpl w:val="979474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813014513">
    <w:abstractNumId w:val="3"/>
  </w:num>
  <w:num w:numId="2" w16cid:durableId="1335569966">
    <w:abstractNumId w:val="9"/>
  </w:num>
  <w:num w:numId="3" w16cid:durableId="1209337887">
    <w:abstractNumId w:val="12"/>
  </w:num>
  <w:num w:numId="4" w16cid:durableId="1171482985">
    <w:abstractNumId w:val="8"/>
  </w:num>
  <w:num w:numId="5" w16cid:durableId="561330628">
    <w:abstractNumId w:val="13"/>
  </w:num>
  <w:num w:numId="6" w16cid:durableId="1973947116">
    <w:abstractNumId w:val="2"/>
  </w:num>
  <w:num w:numId="7" w16cid:durableId="1587806806">
    <w:abstractNumId w:val="1"/>
  </w:num>
  <w:num w:numId="8" w16cid:durableId="1897742675">
    <w:abstractNumId w:val="11"/>
  </w:num>
  <w:num w:numId="9" w16cid:durableId="1049379188">
    <w:abstractNumId w:val="4"/>
  </w:num>
  <w:num w:numId="10" w16cid:durableId="415590961">
    <w:abstractNumId w:val="7"/>
  </w:num>
  <w:num w:numId="11" w16cid:durableId="183832471">
    <w:abstractNumId w:val="5"/>
  </w:num>
  <w:num w:numId="12" w16cid:durableId="140509709">
    <w:abstractNumId w:val="10"/>
  </w:num>
  <w:num w:numId="13" w16cid:durableId="560865239">
    <w:abstractNumId w:val="6"/>
  </w:num>
  <w:num w:numId="14" w16cid:durableId="54514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8B4"/>
    <w:rsid w:val="001628B4"/>
    <w:rsid w:val="00226588"/>
    <w:rsid w:val="00271D84"/>
    <w:rsid w:val="002B2028"/>
    <w:rsid w:val="004F4206"/>
    <w:rsid w:val="00793A5F"/>
    <w:rsid w:val="00C53539"/>
    <w:rsid w:val="00DD09EC"/>
    <w:rsid w:val="00F3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7F2A"/>
  <w15:docId w15:val="{BA6953E6-FDEF-4E36-ABA9-8AB271FF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34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2185</Words>
  <Characters>12460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kogganur</dc:creator>
  <dc:description/>
  <cp:lastModifiedBy>khushi kogganur</cp:lastModifiedBy>
  <cp:revision>2</cp:revision>
  <cp:lastPrinted>2025-11-19T04:45:00Z</cp:lastPrinted>
  <dcterms:created xsi:type="dcterms:W3CDTF">2025-11-19T04:58:00Z</dcterms:created>
  <dcterms:modified xsi:type="dcterms:W3CDTF">2025-11-19T04:58:00Z</dcterms:modified>
  <dc:language>en-GB</dc:language>
</cp:coreProperties>
</file>