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Benefits Handbook</w:t>
      </w:r>
    </w:p>
    <w:p>
      <w:pPr>
        <w:pStyle w:val="Heading1"/>
      </w:pPr>
      <w:r>
        <w:t>Health Insurance</w:t>
      </w:r>
    </w:p>
    <w:p>
      <w:r>
        <w:t>All full-time employees are eligible for the company's comprehensive health insurance plan. Coverage includes medical, dental, and vision benefits. The plan is administered by HealthCorp and covers 80% of out-of-network costs.</w:t>
      </w:r>
    </w:p>
    <w:p>
      <w:pPr>
        <w:pStyle w:val="Heading1"/>
      </w:pPr>
      <w:r>
        <w:t>Paid Time Off</w:t>
      </w:r>
    </w:p>
    <w:p>
      <w:r>
        <w:t>Employees accrue 15 days of Paid Time Off (PTO) per year during their first three years of service. After three years, this increases to 20 days per year. Unused PTO can be rolled over to the next year, up to a maximum of 10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