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F5496"/>
          <w:sz w:val="72"/>
          <w:szCs w:val="72"/>
        </w:rPr>
        <w:t xml:space="preserve">CADENCE</w:t>
      </w:r>
    </w:p>
    <w:p>
      <w:pPr>
        <w:spacing w:after="600" w:before="200"/>
        <w:jc w:val="center"/>
      </w:pPr>
      <w:r>
        <w:rPr>
          <w:color w:val="444444"/>
          <w:sz w:val="36"/>
          <w:szCs w:val="36"/>
        </w:rPr>
        <w:t xml:space="preserve">System Architecture Document</w:t>
      </w:r>
    </w:p>
    <w:p>
      <w:pPr>
        <w:spacing w:after="100"/>
        <w:jc w:val="center"/>
      </w:pPr>
      <w:r>
        <w:rPr>
          <w:i/>
          <w:iCs/>
          <w:sz w:val="24"/>
          <w:szCs w:val="24"/>
        </w:rPr>
        <w:t xml:space="preserve">Causal Attribution-Driven Efficient Continual Retraining for Production ML Systems</w:t>
      </w:r>
    </w:p>
    <w:p>
      <w:pPr>
        <w:spacing w:before="1600"/>
      </w:pPr>
    </w:p>
    <w:p>
      <w:pPr>
        <w:jc w:val="center"/>
      </w:pPr>
      <w:r>
        <w:rPr>
          <w:sz w:val="22"/>
          <w:szCs w:val="22"/>
        </w:rPr>
        <w:t xml:space="preserve">Version 1.0</w:t>
      </w:r>
    </w:p>
    <w:p>
      <w:pPr>
        <w:jc w:val="center"/>
      </w:pPr>
      <w:r>
        <w:rPr>
          <w:sz w:val="22"/>
          <w:szCs w:val="22"/>
        </w:rPr>
        <w:t xml:space="preserve">Prepared by: Ankita</w:t>
      </w:r>
    </w:p>
    <w:p>
      <w:pPr>
        <w:jc w:val="center"/>
      </w:pPr>
      <w:r>
        <w:rPr>
          <w:i/>
          <w:iCs/>
          <w:color w:val="666666"/>
          <w:sz w:val="20"/>
          <w:szCs w:val="20"/>
        </w:rPr>
        <w:t xml:space="preserve">Document status: Draft — living document, updated as design decisions are finalized</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spacing w:after="100"/>
      </w:pPr>
      <w:r>
        <w:rPr>
          <w:sz w:val="22"/>
          <w:szCs w:val="22"/>
        </w:rPr>
        <w:t xml:space="preserve">1. Purpose and Scope</w:t>
      </w:r>
    </w:p>
    <w:p>
      <w:pPr>
        <w:spacing w:after="100"/>
      </w:pPr>
      <w:r>
        <w:rPr>
          <w:sz w:val="22"/>
          <w:szCs w:val="22"/>
        </w:rPr>
        <w:t xml:space="preserve">2. System Overview</w:t>
      </w:r>
    </w:p>
    <w:p>
      <w:pPr>
        <w:spacing w:after="100"/>
      </w:pPr>
      <w:r>
        <w:rPr>
          <w:sz w:val="22"/>
          <w:szCs w:val="22"/>
        </w:rPr>
        <w:t xml:space="preserve">3. High-Level Architecture</w:t>
      </w:r>
    </w:p>
    <w:p>
      <w:pPr>
        <w:spacing w:after="100"/>
      </w:pPr>
      <w:r>
        <w:rPr>
          <w:sz w:val="22"/>
          <w:szCs w:val="22"/>
        </w:rPr>
        <w:t xml:space="preserve">4. Component Architecture</w:t>
      </w:r>
    </w:p>
    <w:p>
      <w:pPr>
        <w:spacing w:after="100"/>
      </w:pPr>
      <w:r>
        <w:rPr>
          <w:sz w:val="22"/>
          <w:szCs w:val="22"/>
        </w:rPr>
        <w:t xml:space="preserve">     4.1 Inference Gateway &amp; Streaming Collector</w:t>
      </w:r>
    </w:p>
    <w:p>
      <w:pPr>
        <w:spacing w:after="100"/>
      </w:pPr>
      <w:r>
        <w:rPr>
          <w:sz w:val="22"/>
          <w:szCs w:val="22"/>
        </w:rPr>
        <w:t xml:space="preserve">     4.2 Drift Detection Trigger</w:t>
      </w:r>
    </w:p>
    <w:p>
      <w:pPr>
        <w:spacing w:after="100"/>
      </w:pPr>
      <w:r>
        <w:rPr>
          <w:sz w:val="22"/>
          <w:szCs w:val="22"/>
        </w:rPr>
        <w:t xml:space="preserve">     4.3 CDAG Builder (Causal Discovery)</w:t>
      </w:r>
    </w:p>
    <w:p>
      <w:pPr>
        <w:spacing w:after="100"/>
      </w:pPr>
      <w:r>
        <w:rPr>
          <w:sz w:val="22"/>
          <w:szCs w:val="22"/>
        </w:rPr>
        <w:t xml:space="preserve">     4.4 GNN (Graph Embedding)</w:t>
      </w:r>
    </w:p>
    <w:p>
      <w:pPr>
        <w:spacing w:after="100"/>
      </w:pPr>
      <w:r>
        <w:rPr>
          <w:sz w:val="22"/>
          <w:szCs w:val="22"/>
        </w:rPr>
        <w:t xml:space="preserve">     4.5 Counterfactual Surrogate</w:t>
      </w:r>
    </w:p>
    <w:p>
      <w:pPr>
        <w:spacing w:after="100"/>
      </w:pPr>
      <w:r>
        <w:rPr>
          <w:sz w:val="22"/>
          <w:szCs w:val="22"/>
        </w:rPr>
        <w:t xml:space="preserve">     4.6 PPO Retraining Scope Optimizer</w:t>
      </w:r>
    </w:p>
    <w:p>
      <w:pPr>
        <w:spacing w:after="100"/>
      </w:pPr>
      <w:r>
        <w:rPr>
          <w:sz w:val="22"/>
          <w:szCs w:val="22"/>
        </w:rPr>
        <w:t xml:space="preserve">     4.7 Retraining Executor (EWC / Full Retrain)</w:t>
      </w:r>
    </w:p>
    <w:p>
      <w:pPr>
        <w:spacing w:after="100"/>
      </w:pPr>
      <w:r>
        <w:rPr>
          <w:sz w:val="22"/>
          <w:szCs w:val="22"/>
        </w:rPr>
        <w:t xml:space="preserve">     4.8 Shadow / Canary Validator</w:t>
      </w:r>
    </w:p>
    <w:p>
      <w:pPr>
        <w:spacing w:after="100"/>
      </w:pPr>
      <w:r>
        <w:rPr>
          <w:sz w:val="22"/>
          <w:szCs w:val="22"/>
        </w:rPr>
        <w:t xml:space="preserve">     4.9 Supporting Services</w:t>
      </w:r>
    </w:p>
    <w:p>
      <w:pPr>
        <w:spacing w:after="100"/>
      </w:pPr>
      <w:r>
        <w:rPr>
          <w:sz w:val="22"/>
          <w:szCs w:val="22"/>
        </w:rPr>
        <w:t xml:space="preserve">5. Model Adapter Layer (Multi-Model-Type Support)</w:t>
      </w:r>
    </w:p>
    <w:p>
      <w:pPr>
        <w:spacing w:after="100"/>
      </w:pPr>
      <w:r>
        <w:rPr>
          <w:sz w:val="22"/>
          <w:szCs w:val="22"/>
        </w:rPr>
        <w:t xml:space="preserve">6. Data Flow</w:t>
      </w:r>
    </w:p>
    <w:p>
      <w:pPr>
        <w:spacing w:after="100"/>
      </w:pPr>
      <w:r>
        <w:rPr>
          <w:sz w:val="22"/>
          <w:szCs w:val="22"/>
        </w:rPr>
        <w:t xml:space="preserve">7. Deployment View</w:t>
      </w:r>
    </w:p>
    <w:p>
      <w:pPr>
        <w:spacing w:after="100"/>
      </w:pPr>
      <w:r>
        <w:rPr>
          <w:sz w:val="22"/>
          <w:szCs w:val="22"/>
        </w:rPr>
        <w:t xml:space="preserve">8. Technology Stack</w:t>
      </w:r>
    </w:p>
    <w:p>
      <w:pPr>
        <w:spacing w:after="100"/>
      </w:pPr>
      <w:r>
        <w:rPr>
          <w:sz w:val="22"/>
          <w:szCs w:val="22"/>
        </w:rPr>
        <w:t xml:space="preserve">9. Non-Functional Considerations</w:t>
      </w:r>
    </w:p>
    <w:p>
      <w:pPr>
        <w:spacing w:after="100"/>
      </w:pPr>
      <w:r>
        <w:rPr>
          <w:sz w:val="22"/>
          <w:szCs w:val="22"/>
        </w:rPr>
        <w:t xml:space="preserve">10. Open Design Decisions</w:t>
      </w:r>
    </w:p>
    <w:p>
      <w:pPr>
        <w:spacing w:after="100"/>
      </w:pPr>
      <w:r>
        <w:rPr>
          <w:sz w:val="22"/>
          <w:szCs w:val="22"/>
        </w:rPr>
        <w:t xml:space="preserve">Appendix A: Glossary</w:t>
      </w:r>
    </w:p>
    <w:p>
      <w:pPr>
        <w:spacing w:after="100"/>
      </w:pPr>
      <w:r>
        <w:rPr>
          <w:sz w:val="22"/>
          <w:szCs w:val="22"/>
        </w:rPr>
        <w:t xml:space="preserve">Appendix B: Revision History</w:t>
      </w:r>
    </w:p>
    <w:p>
      <w:r>
        <w:br w:type="page"/>
      </w:r>
    </w:p>
    <w:p>
      <w:pPr>
        <w:pStyle w:val="Heading1"/>
        <w:spacing w:after="200" w:before="400"/>
      </w:pPr>
      <w:r>
        <w:t xml:space="preserve">1. Purpose and Scope</w:t>
      </w:r>
    </w:p>
    <w:p>
      <w:pPr>
        <w:spacing w:after="150"/>
      </w:pPr>
      <w:r>
        <w:t xml:space="preserve">This document describes the system architecture of CADENCE (Causal Attribution-Driven Efficient Continual Retraining for Production ML Systems) — a closed-loop MLOps system that diagnoses the true cause of production ML model performance degradation and automatically selects the minimal sufficient retraining action, balancing compute cost, carbon cost, and service-level performance requirements.</w:t>
      </w:r>
    </w:p>
    <w:p>
      <w:pPr>
        <w:spacing w:after="150"/>
      </w:pPr>
      <w:r>
        <w:t xml:space="preserve">This document is intended for engineering planning, implementation reference, and technical review (including academic/patent review). It defines every major component, the data contracts between components, the technology choices, and the design decisions that remain open.</w:t>
      </w:r>
    </w:p>
    <w:p>
      <w:pPr>
        <w:spacing w:after="150"/>
      </w:pPr>
      <w:r>
        <w:t xml:space="preserve">Scope: this version of the architecture targets small-to-mid-sized structured-prediction models (classifiers, regressors, ranking models). Large Language Models (LLMs) are explicitly out of scope for this version and are addressed separately as a future-work extension.</w:t>
      </w:r>
    </w:p>
    <w:p>
      <w:pPr>
        <w:pStyle w:val="Heading1"/>
        <w:spacing w:after="200" w:before="400"/>
      </w:pPr>
      <w:r>
        <w:t xml:space="preserve">2. System Overview</w:t>
      </w:r>
    </w:p>
    <w:p>
      <w:pPr>
        <w:spacing w:after="150"/>
      </w:pPr>
      <w:r>
        <w:t xml:space="preserve">Production ML models degrade over time as real-world data drifts away from training-time distributions. Existing monitoring tools detect that drift occurred but cannot explain why, and most retraining pipelines either retrain on a fixed schedule (wasteful) or wait for a human to notice (slow and costly).</w:t>
      </w:r>
    </w:p>
    <w:p>
      <w:pPr>
        <w:spacing w:after="150"/>
      </w:pPr>
      <w:r>
        <w:t xml:space="preserve">CADENCE closes this loop with three coordinated innovations, layered on top of the model being monitored:</w:t>
      </w:r>
    </w:p>
    <w:p>
      <w:pPr>
        <w:pStyle w:val="ListParagraph"/>
        <w:numPr>
          <w:ilvl w:val="0"/>
          <w:numId w:val="1"/>
        </w:numPr>
        <w:spacing w:after="80"/>
      </w:pPr>
      <w:r>
        <w:t xml:space="preserve">Causal source attribution — identifies which specific upstream factor (an external feature or an internal model representation) is responsible for a performance drop, rather than reporting an aggregate drift score.</w:t>
      </w:r>
    </w:p>
    <w:p>
      <w:pPr>
        <w:pStyle w:val="ListParagraph"/>
        <w:numPr>
          <w:ilvl w:val="0"/>
          <w:numId w:val="1"/>
        </w:numPr>
        <w:spacing w:after="80"/>
      </w:pPr>
      <w:r>
        <w:t xml:space="preserve">Calibrated, cost-aware retraining scope selection — a learned policy chooses between no action, a targeted partial fix, or a full retrain, based on predicted recovery, compute cost, and carbon cost.</w:t>
      </w:r>
    </w:p>
    <w:p>
      <w:pPr>
        <w:pStyle w:val="ListParagraph"/>
        <w:numPr>
          <w:ilvl w:val="0"/>
          <w:numId w:val="1"/>
        </w:numPr>
        <w:spacing w:after="80"/>
      </w:pPr>
      <w:r>
        <w:t xml:space="preserve">Continual-learning-safe execution — any partial fix is applied with forgetting-prevention safeguards, and every change is validated in shadow/canary mode before reaching real traffic.</w:t>
      </w:r>
    </w:p>
    <w:p>
      <w:pPr>
        <w:pStyle w:val="Heading1"/>
        <w:spacing w:after="200" w:before="400"/>
      </w:pPr>
      <w:r>
        <w:t xml:space="preserve">3. High-Level Architecture</w:t>
      </w:r>
    </w:p>
    <w:p>
      <w:pPr>
        <w:spacing w:after="150"/>
      </w:pPr>
      <w:r>
        <w:t xml:space="preserve">The diagram below shows the major components and the direction of data flow between them.</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w:t>
      </w:r>
      <w:r>
        <w:rPr>
          <w:rFonts w:ascii="Consolas" w:cs="Consolas" w:eastAsia="Consolas" w:hAnsi="Consolas"/>
          <w:sz w:val="18"/>
          <w:szCs w:val="18"/>
        </w:rPr>
        <w:br/>
        <w:t xml:space="preserve">  Live Traffic ----&gt; |  Inference Gateway    | --&gt; predictions / logs</w:t>
      </w:r>
      <w:r>
        <w:rPr>
          <w:rFonts w:ascii="Consolas" w:cs="Consolas" w:eastAsia="Consolas" w:hAnsi="Consolas"/>
          <w:sz w:val="18"/>
          <w:szCs w:val="18"/>
        </w:rPr>
        <w:br/>
        <w:t xml:space="preserve">                     +----------+-----------+</w:t>
      </w:r>
      <w:r>
        <w:rPr>
          <w:rFonts w:ascii="Consolas" w:cs="Consolas" w:eastAsia="Consolas" w:hAnsi="Consolas"/>
          <w:sz w:val="18"/>
          <w:szCs w:val="18"/>
        </w:rPr>
        <w:br/>
        <w:t xml:space="preserve">                                |  features + activations</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Streaming Collector   |  (sampled, privacy-filtered)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CDAG Builder          |  &lt;- PC (skeleton) +</w:t>
      </w:r>
      <w:r>
        <w:rPr>
          <w:rFonts w:ascii="Consolas" w:cs="Consolas" w:eastAsia="Consolas" w:hAnsi="Consolas"/>
          <w:sz w:val="18"/>
          <w:szCs w:val="18"/>
        </w:rPr>
        <w:br/>
        <w:t xml:space="preserve">                     |  (causal discovery)     |     NOTEARS (weights)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GNN                   |  node embeddings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Perf/SLA Monitor -&gt;|  Counterfactual        |  responsibility scores</w:t>
      </w:r>
      <w:r>
        <w:rPr>
          <w:rFonts w:ascii="Consolas" w:cs="Consolas" w:eastAsia="Consolas" w:hAnsi="Consolas"/>
          <w:sz w:val="18"/>
          <w:szCs w:val="18"/>
        </w:rPr>
        <w:br/>
        <w:t xml:space="preserve">                     |  Surrogate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PPO Retraining Scope  |  action: none / partial / full</w:t>
      </w:r>
      <w:r>
        <w:rPr>
          <w:rFonts w:ascii="Consolas" w:cs="Consolas" w:eastAsia="Consolas" w:hAnsi="Consolas"/>
          <w:sz w:val="18"/>
          <w:szCs w:val="18"/>
        </w:rPr>
        <w:br/>
        <w:t xml:space="preserve">                     |  Optimizer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Retraining Executor    |  EWC (partial) or</w:t>
      </w:r>
      <w:r>
        <w:rPr>
          <w:rFonts w:ascii="Consolas" w:cs="Consolas" w:eastAsia="Consolas" w:hAnsi="Consolas"/>
          <w:sz w:val="18"/>
          <w:szCs w:val="18"/>
        </w:rPr>
        <w:br/>
        <w:t xml:space="preserve">                     |                          |  full retrain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Shadow / Canary        | --&gt; promote or roll back</w:t>
      </w:r>
      <w:r>
        <w:rPr>
          <w:rFonts w:ascii="Consolas" w:cs="Consolas" w:eastAsia="Consolas" w:hAnsi="Consolas"/>
          <w:sz w:val="18"/>
          <w:szCs w:val="18"/>
        </w:rPr>
        <w:br/>
        <w:t xml:space="preserve">                     |  Validator               |</w:t>
      </w:r>
      <w:r>
        <w:rPr>
          <w:rFonts w:ascii="Consolas" w:cs="Consolas" w:eastAsia="Consolas" w:hAnsi="Consolas"/>
          <w:sz w:val="18"/>
          <w:szCs w:val="18"/>
        </w:rPr>
        <w:br/>
        <w:t xml:space="preserve">                     +----------------------+</w:t>
      </w:r>
    </w:p>
    <w:p>
      <w:pPr>
        <w:spacing w:after="150"/>
      </w:pPr>
      <w:r>
        <w:t xml:space="preserve">Supporting services (not shown above): model registry, cost/carbon estimator, monitoring dashboard, and an audit log for compliance and explainability.</w:t>
      </w:r>
    </w:p>
    <w:p>
      <w:pPr>
        <w:pStyle w:val="Heading1"/>
        <w:spacing w:after="200" w:before="400"/>
      </w:pPr>
      <w:r>
        <w:t xml:space="preserve">4. Component Architecture</w:t>
      </w:r>
    </w:p>
    <w:p>
      <w:pPr>
        <w:spacing w:after="150"/>
      </w:pPr>
      <w:r>
        <w:t xml:space="preserve">Each component below is described by its purpose, inputs, outputs, and the algorithm/technology it uses.</w:t>
      </w:r>
    </w:p>
    <w:p>
      <w:pPr>
        <w:pStyle w:val="Heading2"/>
        <w:spacing w:after="150" w:before="300"/>
      </w:pPr>
      <w:r>
        <w:t xml:space="preserve">4.1 Inference Gateway &amp; Streaming Collector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Field</w:t>
            </w:r>
          </w:p>
        </w:tc>
        <w:tc>
          <w:tcPr>
            <w:tcW w:type="dxa" w:w="7000"/>
            <w:shd w:fill="2F5496" w:val="clear"/>
            <w:vAlign w:val="center"/>
          </w:tcPr>
          <w:p>
            <w:r>
              <w:rPr>
                <w:b/>
                <w:bCs/>
                <w:color w:val="FFFFFF"/>
                <w:sz w:val="20"/>
                <w:szCs w:val="20"/>
              </w:rPr>
              <w:t xml:space="preserve">Description</w:t>
            </w:r>
          </w:p>
        </w:tc>
      </w:tr>
      <w:tr>
        <w:tc>
          <w:tcPr>
            <w:tcW w:type="dxa" w:w="3000"/>
            <w:vAlign w:val="center"/>
          </w:tcPr>
          <w:p>
            <w:r>
              <w:rPr>
                <w:b w:val="false"/>
                <w:bCs w:val="false"/>
                <w:color w:val="000000"/>
                <w:sz w:val="20"/>
                <w:szCs w:val="20"/>
              </w:rPr>
              <w:t xml:space="preserve">Purpose</w:t>
            </w:r>
          </w:p>
        </w:tc>
        <w:tc>
          <w:tcPr>
            <w:tcW w:type="dxa" w:w="7000"/>
            <w:vAlign w:val="center"/>
          </w:tcPr>
          <w:p>
            <w:r>
              <w:rPr>
                <w:b w:val="false"/>
                <w:bCs w:val="false"/>
                <w:color w:val="000000"/>
                <w:sz w:val="20"/>
                <w:szCs w:val="20"/>
              </w:rPr>
              <w:t xml:space="preserve">Serve live predictions and capture the telemetry CADENCE needs, without disrupting production latency</w:t>
            </w:r>
          </w:p>
        </w:tc>
      </w:tr>
      <w:tr>
        <w:tc>
          <w:tcPr>
            <w:tcW w:type="dxa" w:w="3000"/>
            <w:vAlign w:val="center"/>
          </w:tcPr>
          <w:p>
            <w:r>
              <w:rPr>
                <w:b w:val="false"/>
                <w:bCs w:val="false"/>
                <w:color w:val="000000"/>
                <w:sz w:val="20"/>
                <w:szCs w:val="20"/>
              </w:rPr>
              <w:t xml:space="preserve">Input</w:t>
            </w:r>
          </w:p>
        </w:tc>
        <w:tc>
          <w:tcPr>
            <w:tcW w:type="dxa" w:w="7000"/>
            <w:vAlign w:val="center"/>
          </w:tcPr>
          <w:p>
            <w:r>
              <w:rPr>
                <w:b w:val="false"/>
                <w:bCs w:val="false"/>
                <w:color w:val="000000"/>
                <w:sz w:val="20"/>
                <w:szCs w:val="20"/>
              </w:rPr>
              <w:t xml:space="preserve">Live feature vectors from real traffic</w:t>
            </w:r>
          </w:p>
        </w:tc>
      </w:tr>
      <w:tr>
        <w:tc>
          <w:tcPr>
            <w:tcW w:type="dxa" w:w="3000"/>
            <w:vAlign w:val="center"/>
          </w:tcPr>
          <w:p>
            <w:r>
              <w:rPr>
                <w:b w:val="false"/>
                <w:bCs w:val="false"/>
                <w:color w:val="000000"/>
                <w:sz w:val="20"/>
                <w:szCs w:val="20"/>
              </w:rPr>
              <w:t xml:space="preserve">Output</w:t>
            </w:r>
          </w:p>
        </w:tc>
        <w:tc>
          <w:tcPr>
            <w:tcW w:type="dxa" w:w="7000"/>
            <w:vAlign w:val="center"/>
          </w:tcPr>
          <w:p>
            <w:r>
              <w:rPr>
                <w:b w:val="false"/>
                <w:bCs w:val="false"/>
                <w:color w:val="000000"/>
                <w:sz w:val="20"/>
                <w:szCs w:val="20"/>
              </w:rPr>
              <w:t xml:space="preserve">Predictions (to caller) + logged tuples: (features, prediction, internal activations, delayed label if available)</w:t>
            </w:r>
          </w:p>
        </w:tc>
      </w:tr>
      <w:tr>
        <w:tc>
          <w:tcPr>
            <w:tcW w:type="dxa" w:w="3000"/>
            <w:vAlign w:val="center"/>
          </w:tcPr>
          <w:p>
            <w:r>
              <w:rPr>
                <w:b w:val="false"/>
                <w:bCs w:val="false"/>
                <w:color w:val="000000"/>
                <w:sz w:val="20"/>
                <w:szCs w:val="20"/>
              </w:rPr>
              <w:t xml:space="preserve">Technology</w:t>
            </w:r>
          </w:p>
        </w:tc>
        <w:tc>
          <w:tcPr>
            <w:tcW w:type="dxa" w:w="7000"/>
            <w:vAlign w:val="center"/>
          </w:tcPr>
          <w:p>
            <w:r>
              <w:rPr>
                <w:b w:val="false"/>
                <w:bCs w:val="false"/>
                <w:color w:val="000000"/>
                <w:sz w:val="20"/>
                <w:szCs w:val="20"/>
              </w:rPr>
              <w:t xml:space="preserve">FastAPI / Triton Inference Server; forward hooks for activation capture; Kafka or Redis Streams for the logging path</w:t>
            </w:r>
          </w:p>
        </w:tc>
      </w:tr>
    </w:tbl>
    <w:p>
      <w:pPr>
        <w:pStyle w:val="Heading2"/>
        <w:spacing w:after="150" w:before="300"/>
      </w:pPr>
      <w:r>
        <w:t xml:space="preserve">4.2 Drift Detection Trigger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Field</w:t>
            </w:r>
          </w:p>
        </w:tc>
        <w:tc>
          <w:tcPr>
            <w:tcW w:type="dxa" w:w="7000"/>
            <w:shd w:fill="2F5496" w:val="clear"/>
            <w:vAlign w:val="center"/>
          </w:tcPr>
          <w:p>
            <w:r>
              <w:rPr>
                <w:b/>
                <w:bCs/>
                <w:color w:val="FFFFFF"/>
                <w:sz w:val="20"/>
                <w:szCs w:val="20"/>
              </w:rPr>
              <w:t xml:space="preserve">Description</w:t>
            </w:r>
          </w:p>
        </w:tc>
      </w:tr>
      <w:tr>
        <w:tc>
          <w:tcPr>
            <w:tcW w:type="dxa" w:w="3000"/>
            <w:vAlign w:val="center"/>
          </w:tcPr>
          <w:p>
            <w:r>
              <w:rPr>
                <w:b w:val="false"/>
                <w:bCs w:val="false"/>
                <w:color w:val="000000"/>
                <w:sz w:val="20"/>
                <w:szCs w:val="20"/>
              </w:rPr>
              <w:t xml:space="preserve">Purpose</w:t>
            </w:r>
          </w:p>
        </w:tc>
        <w:tc>
          <w:tcPr>
            <w:tcW w:type="dxa" w:w="7000"/>
            <w:vAlign w:val="center"/>
          </w:tcPr>
          <w:p>
            <w:r>
              <w:rPr>
                <w:b w:val="false"/>
                <w:bCs w:val="false"/>
                <w:color w:val="000000"/>
                <w:sz w:val="20"/>
                <w:szCs w:val="20"/>
              </w:rPr>
              <w:t xml:space="preserve">Cheap, always-on monitor that decides when to invoke the more expensive CDAG/attribution pipeline</w:t>
            </w:r>
          </w:p>
        </w:tc>
      </w:tr>
      <w:tr>
        <w:tc>
          <w:tcPr>
            <w:tcW w:type="dxa" w:w="3000"/>
            <w:vAlign w:val="center"/>
          </w:tcPr>
          <w:p>
            <w:r>
              <w:rPr>
                <w:b w:val="false"/>
                <w:bCs w:val="false"/>
                <w:color w:val="000000"/>
                <w:sz w:val="20"/>
                <w:szCs w:val="20"/>
              </w:rPr>
              <w:t xml:space="preserve">Input</w:t>
            </w:r>
          </w:p>
        </w:tc>
        <w:tc>
          <w:tcPr>
            <w:tcW w:type="dxa" w:w="7000"/>
            <w:vAlign w:val="center"/>
          </w:tcPr>
          <w:p>
            <w:r>
              <w:rPr>
                <w:b w:val="false"/>
                <w:bCs w:val="false"/>
                <w:color w:val="000000"/>
                <w:sz w:val="20"/>
                <w:szCs w:val="20"/>
              </w:rPr>
              <w:t xml:space="preserve">Rolling windowed feature statistics; delayed-label performance when available</w:t>
            </w:r>
          </w:p>
        </w:tc>
      </w:tr>
      <w:tr>
        <w:tc>
          <w:tcPr>
            <w:tcW w:type="dxa" w:w="3000"/>
            <w:vAlign w:val="center"/>
          </w:tcPr>
          <w:p>
            <w:r>
              <w:rPr>
                <w:b w:val="false"/>
                <w:bCs w:val="false"/>
                <w:color w:val="000000"/>
                <w:sz w:val="20"/>
                <w:szCs w:val="20"/>
              </w:rPr>
              <w:t xml:space="preserve">Output</w:t>
            </w:r>
          </w:p>
        </w:tc>
        <w:tc>
          <w:tcPr>
            <w:tcW w:type="dxa" w:w="7000"/>
            <w:vAlign w:val="center"/>
          </w:tcPr>
          <w:p>
            <w:r>
              <w:rPr>
                <w:b w:val="false"/>
                <w:bCs w:val="false"/>
                <w:color w:val="000000"/>
                <w:sz w:val="20"/>
                <w:szCs w:val="20"/>
              </w:rPr>
              <w:t xml:space="preserve">A binary alert (fire / no fire) with the triggering window's metadata</w:t>
            </w:r>
          </w:p>
        </w:tc>
      </w:tr>
      <w:tr>
        <w:tc>
          <w:tcPr>
            <w:tcW w:type="dxa" w:w="3000"/>
            <w:vAlign w:val="center"/>
          </w:tcPr>
          <w:p>
            <w:r>
              <w:rPr>
                <w:b w:val="false"/>
                <w:bCs w:val="false"/>
                <w:color w:val="000000"/>
                <w:sz w:val="20"/>
                <w:szCs w:val="20"/>
              </w:rPr>
              <w:t xml:space="preserve">Technology</w:t>
            </w:r>
          </w:p>
        </w:tc>
        <w:tc>
          <w:tcPr>
            <w:tcW w:type="dxa" w:w="7000"/>
            <w:vAlign w:val="center"/>
          </w:tcPr>
          <w:p>
            <w:r>
              <w:rPr>
                <w:b w:val="false"/>
                <w:bCs w:val="false"/>
                <w:color w:val="000000"/>
                <w:sz w:val="20"/>
                <w:szCs w:val="20"/>
              </w:rPr>
              <w:t xml:space="preserve">Population Stability Index (PSI) and/or Kolmogorov-Smirnov test on rolling windows</w:t>
            </w:r>
          </w:p>
        </w:tc>
      </w:tr>
    </w:tbl>
    <w:p>
      <w:pPr>
        <w:pStyle w:val="Heading2"/>
        <w:spacing w:after="150" w:before="300"/>
      </w:pPr>
      <w:r>
        <w:t xml:space="preserve">4.3 CDAG Builder (Causal Discovery)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Field</w:t>
            </w:r>
          </w:p>
        </w:tc>
        <w:tc>
          <w:tcPr>
            <w:tcW w:type="dxa" w:w="7000"/>
            <w:shd w:fill="2F5496" w:val="clear"/>
            <w:vAlign w:val="center"/>
          </w:tcPr>
          <w:p>
            <w:r>
              <w:rPr>
                <w:b/>
                <w:bCs/>
                <w:color w:val="FFFFFF"/>
                <w:sz w:val="20"/>
                <w:szCs w:val="20"/>
              </w:rPr>
              <w:t xml:space="preserve">Description</w:t>
            </w:r>
          </w:p>
        </w:tc>
      </w:tr>
      <w:tr>
        <w:tc>
          <w:tcPr>
            <w:tcW w:type="dxa" w:w="3000"/>
            <w:vAlign w:val="center"/>
          </w:tcPr>
          <w:p>
            <w:r>
              <w:rPr>
                <w:b w:val="false"/>
                <w:bCs w:val="false"/>
                <w:color w:val="000000"/>
                <w:sz w:val="20"/>
                <w:szCs w:val="20"/>
              </w:rPr>
              <w:t xml:space="preserve">Purpose</w:t>
            </w:r>
          </w:p>
        </w:tc>
        <w:tc>
          <w:tcPr>
            <w:tcW w:type="dxa" w:w="7000"/>
            <w:vAlign w:val="center"/>
          </w:tcPr>
          <w:p>
            <w:r>
              <w:rPr>
                <w:b w:val="false"/>
                <w:bCs w:val="false"/>
                <w:color w:val="000000"/>
                <w:sz w:val="20"/>
                <w:szCs w:val="20"/>
              </w:rPr>
              <w:t xml:space="preserve">Construct a causal graph connecting external feature drift, internal activation-cluster shifts, and the performance outcome</w:t>
            </w:r>
          </w:p>
        </w:tc>
      </w:tr>
      <w:tr>
        <w:tc>
          <w:tcPr>
            <w:tcW w:type="dxa" w:w="3000"/>
            <w:vAlign w:val="center"/>
          </w:tcPr>
          <w:p>
            <w:r>
              <w:rPr>
                <w:b w:val="false"/>
                <w:bCs w:val="false"/>
                <w:color w:val="000000"/>
                <w:sz w:val="20"/>
                <w:szCs w:val="20"/>
              </w:rPr>
              <w:t xml:space="preserve">Input</w:t>
            </w:r>
          </w:p>
        </w:tc>
        <w:tc>
          <w:tcPr>
            <w:tcW w:type="dxa" w:w="7000"/>
            <w:vAlign w:val="center"/>
          </w:tcPr>
          <w:p>
            <w:r>
              <w:rPr>
                <w:b w:val="false"/>
                <w:bCs w:val="false"/>
                <w:color w:val="000000"/>
                <w:sz w:val="20"/>
                <w:szCs w:val="20"/>
              </w:rPr>
              <w:t xml:space="preserve">Rolling windowed statistics for every feature node, activation-cluster node, and the performance node</w:t>
            </w:r>
          </w:p>
        </w:tc>
      </w:tr>
      <w:tr>
        <w:tc>
          <w:tcPr>
            <w:tcW w:type="dxa" w:w="3000"/>
            <w:vAlign w:val="center"/>
          </w:tcPr>
          <w:p>
            <w:r>
              <w:rPr>
                <w:b w:val="false"/>
                <w:bCs w:val="false"/>
                <w:color w:val="000000"/>
                <w:sz w:val="20"/>
                <w:szCs w:val="20"/>
              </w:rPr>
              <w:t xml:space="preserve">Output</w:t>
            </w:r>
          </w:p>
        </w:tc>
        <w:tc>
          <w:tcPr>
            <w:tcW w:type="dxa" w:w="7000"/>
            <w:vAlign w:val="center"/>
          </w:tcPr>
          <w:p>
            <w:r>
              <w:rPr>
                <w:b w:val="false"/>
                <w:bCs w:val="false"/>
                <w:color w:val="000000"/>
                <w:sz w:val="20"/>
                <w:szCs w:val="20"/>
              </w:rPr>
              <w:t xml:space="preserve">A weighted, directed graph (the CDAG): skeleton + edge weights</w:t>
            </w:r>
          </w:p>
        </w:tc>
      </w:tr>
      <w:tr>
        <w:tc>
          <w:tcPr>
            <w:tcW w:type="dxa" w:w="3000"/>
            <w:vAlign w:val="center"/>
          </w:tcPr>
          <w:p>
            <w:r>
              <w:rPr>
                <w:b w:val="false"/>
                <w:bCs w:val="false"/>
                <w:color w:val="000000"/>
                <w:sz w:val="20"/>
                <w:szCs w:val="20"/>
              </w:rPr>
              <w:t xml:space="preserve">Technology</w:t>
            </w:r>
          </w:p>
        </w:tc>
        <w:tc>
          <w:tcPr>
            <w:tcW w:type="dxa" w:w="7000"/>
            <w:vAlign w:val="center"/>
          </w:tcPr>
          <w:p>
            <w:r>
              <w:rPr>
                <w:b w:val="false"/>
                <w:bCs w:val="false"/>
                <w:color w:val="000000"/>
                <w:sz w:val="20"/>
                <w:szCs w:val="20"/>
              </w:rPr>
              <w:t xml:space="preserve">Hybrid: PC algorithm (conditional-independence testing) for the skeleton, NOTEARS-style continuous optimization for edge weights restricted to that skeleton</w:t>
            </w:r>
          </w:p>
        </w:tc>
      </w:tr>
    </w:tbl>
    <w:p>
      <w:pPr>
        <w:pStyle w:val="Heading2"/>
        <w:spacing w:after="150" w:before="300"/>
      </w:pPr>
      <w:r>
        <w:t xml:space="preserve">4.4 GNN (Graph Embedding)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Field</w:t>
            </w:r>
          </w:p>
        </w:tc>
        <w:tc>
          <w:tcPr>
            <w:tcW w:type="dxa" w:w="7000"/>
            <w:shd w:fill="2F5496" w:val="clear"/>
            <w:vAlign w:val="center"/>
          </w:tcPr>
          <w:p>
            <w:r>
              <w:rPr>
                <w:b/>
                <w:bCs/>
                <w:color w:val="FFFFFF"/>
                <w:sz w:val="20"/>
                <w:szCs w:val="20"/>
              </w:rPr>
              <w:t xml:space="preserve">Description</w:t>
            </w:r>
          </w:p>
        </w:tc>
      </w:tr>
      <w:tr>
        <w:tc>
          <w:tcPr>
            <w:tcW w:type="dxa" w:w="3000"/>
            <w:vAlign w:val="center"/>
          </w:tcPr>
          <w:p>
            <w:r>
              <w:rPr>
                <w:b w:val="false"/>
                <w:bCs w:val="false"/>
                <w:color w:val="000000"/>
                <w:sz w:val="20"/>
                <w:szCs w:val="20"/>
              </w:rPr>
              <w:t xml:space="preserve">Purpose</w:t>
            </w:r>
          </w:p>
        </w:tc>
        <w:tc>
          <w:tcPr>
            <w:tcW w:type="dxa" w:w="7000"/>
            <w:vAlign w:val="center"/>
          </w:tcPr>
          <w:p>
            <w:r>
              <w:rPr>
                <w:b w:val="false"/>
                <w:bCs w:val="false"/>
                <w:color w:val="000000"/>
                <w:sz w:val="20"/>
                <w:szCs w:val="20"/>
              </w:rPr>
              <w:t xml:space="preserve">Produce a contextualized embedding per CDAG node, capturing multi-hop causal influence</w:t>
            </w:r>
          </w:p>
        </w:tc>
      </w:tr>
      <w:tr>
        <w:tc>
          <w:tcPr>
            <w:tcW w:type="dxa" w:w="3000"/>
            <w:vAlign w:val="center"/>
          </w:tcPr>
          <w:p>
            <w:r>
              <w:rPr>
                <w:b w:val="false"/>
                <w:bCs w:val="false"/>
                <w:color w:val="000000"/>
                <w:sz w:val="20"/>
                <w:szCs w:val="20"/>
              </w:rPr>
              <w:t xml:space="preserve">Input</w:t>
            </w:r>
          </w:p>
        </w:tc>
        <w:tc>
          <w:tcPr>
            <w:tcW w:type="dxa" w:w="7000"/>
            <w:vAlign w:val="center"/>
          </w:tcPr>
          <w:p>
            <w:r>
              <w:rPr>
                <w:b w:val="false"/>
                <w:bCs w:val="false"/>
                <w:color w:val="000000"/>
                <w:sz w:val="20"/>
                <w:szCs w:val="20"/>
              </w:rPr>
              <w:t xml:space="preserve">CDAG structure: per-node feature vectors, per-edge weights</w:t>
            </w:r>
          </w:p>
        </w:tc>
      </w:tr>
      <w:tr>
        <w:tc>
          <w:tcPr>
            <w:tcW w:type="dxa" w:w="3000"/>
            <w:vAlign w:val="center"/>
          </w:tcPr>
          <w:p>
            <w:r>
              <w:rPr>
                <w:b w:val="false"/>
                <w:bCs w:val="false"/>
                <w:color w:val="000000"/>
                <w:sz w:val="20"/>
                <w:szCs w:val="20"/>
              </w:rPr>
              <w:t xml:space="preserve">Output</w:t>
            </w:r>
          </w:p>
        </w:tc>
        <w:tc>
          <w:tcPr>
            <w:tcW w:type="dxa" w:w="7000"/>
            <w:vAlign w:val="center"/>
          </w:tcPr>
          <w:p>
            <w:r>
              <w:rPr>
                <w:b w:val="false"/>
                <w:bCs w:val="false"/>
                <w:color w:val="000000"/>
                <w:sz w:val="20"/>
                <w:szCs w:val="20"/>
              </w:rPr>
              <w:t xml:space="preserve">Per-node embedding vector</w:t>
            </w:r>
          </w:p>
        </w:tc>
      </w:tr>
      <w:tr>
        <w:tc>
          <w:tcPr>
            <w:tcW w:type="dxa" w:w="3000"/>
            <w:vAlign w:val="center"/>
          </w:tcPr>
          <w:p>
            <w:r>
              <w:rPr>
                <w:b w:val="false"/>
                <w:bCs w:val="false"/>
                <w:color w:val="000000"/>
                <w:sz w:val="20"/>
                <w:szCs w:val="20"/>
              </w:rPr>
              <w:t xml:space="preserve">Technology</w:t>
            </w:r>
          </w:p>
        </w:tc>
        <w:tc>
          <w:tcPr>
            <w:tcW w:type="dxa" w:w="7000"/>
            <w:vAlign w:val="center"/>
          </w:tcPr>
          <w:p>
            <w:r>
              <w:rPr>
                <w:b w:val="false"/>
                <w:bCs w:val="false"/>
                <w:color w:val="000000"/>
                <w:sz w:val="20"/>
                <w:szCs w:val="20"/>
              </w:rPr>
              <w:t xml:space="preserve">GraphSAGE / GAT-style graph neural network; trained jointly with the counterfactual surrogate</w:t>
            </w:r>
          </w:p>
        </w:tc>
      </w:tr>
    </w:tbl>
    <w:p>
      <w:pPr>
        <w:pStyle w:val="Heading2"/>
        <w:spacing w:after="150" w:before="300"/>
      </w:pPr>
      <w:r>
        <w:t xml:space="preserve">4.5 Counterfactual Surrogate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Field</w:t>
            </w:r>
          </w:p>
        </w:tc>
        <w:tc>
          <w:tcPr>
            <w:tcW w:type="dxa" w:w="7000"/>
            <w:shd w:fill="2F5496" w:val="clear"/>
            <w:vAlign w:val="center"/>
          </w:tcPr>
          <w:p>
            <w:r>
              <w:rPr>
                <w:b/>
                <w:bCs/>
                <w:color w:val="FFFFFF"/>
                <w:sz w:val="20"/>
                <w:szCs w:val="20"/>
              </w:rPr>
              <w:t xml:space="preserve">Description</w:t>
            </w:r>
          </w:p>
        </w:tc>
      </w:tr>
      <w:tr>
        <w:tc>
          <w:tcPr>
            <w:tcW w:type="dxa" w:w="3000"/>
            <w:vAlign w:val="center"/>
          </w:tcPr>
          <w:p>
            <w:r>
              <w:rPr>
                <w:b w:val="false"/>
                <w:bCs w:val="false"/>
                <w:color w:val="000000"/>
                <w:sz w:val="20"/>
                <w:szCs w:val="20"/>
              </w:rPr>
              <w:t xml:space="preserve">Purpose</w:t>
            </w:r>
          </w:p>
        </w:tc>
        <w:tc>
          <w:tcPr>
            <w:tcW w:type="dxa" w:w="7000"/>
            <w:vAlign w:val="center"/>
          </w:tcPr>
          <w:p>
            <w:r>
              <w:rPr>
                <w:b w:val="false"/>
                <w:bCs w:val="false"/>
                <w:color w:val="000000"/>
                <w:sz w:val="20"/>
                <w:szCs w:val="20"/>
              </w:rPr>
              <w:t xml:space="preserve">Estimate, without performing a real intervention, what performance would result if a given node's cause were corrected</w:t>
            </w:r>
          </w:p>
        </w:tc>
      </w:tr>
      <w:tr>
        <w:tc>
          <w:tcPr>
            <w:tcW w:type="dxa" w:w="3000"/>
            <w:vAlign w:val="center"/>
          </w:tcPr>
          <w:p>
            <w:r>
              <w:rPr>
                <w:b w:val="false"/>
                <w:bCs w:val="false"/>
                <w:color w:val="000000"/>
                <w:sz w:val="20"/>
                <w:szCs w:val="20"/>
              </w:rPr>
              <w:t xml:space="preserve">Input</w:t>
            </w:r>
          </w:p>
        </w:tc>
        <w:tc>
          <w:tcPr>
            <w:tcW w:type="dxa" w:w="7000"/>
            <w:vAlign w:val="center"/>
          </w:tcPr>
          <w:p>
            <w:r>
              <w:rPr>
                <w:b w:val="false"/>
                <w:bCs w:val="false"/>
                <w:color w:val="000000"/>
                <w:sz w:val="20"/>
                <w:szCs w:val="20"/>
              </w:rPr>
              <w:t xml:space="preserve">Node embedding + current drift-magnitude context</w:t>
            </w:r>
          </w:p>
        </w:tc>
      </w:tr>
      <w:tr>
        <w:tc>
          <w:tcPr>
            <w:tcW w:type="dxa" w:w="3000"/>
            <w:vAlign w:val="center"/>
          </w:tcPr>
          <w:p>
            <w:r>
              <w:rPr>
                <w:b w:val="false"/>
                <w:bCs w:val="false"/>
                <w:color w:val="000000"/>
                <w:sz w:val="20"/>
                <w:szCs w:val="20"/>
              </w:rPr>
              <w:t xml:space="preserve">Output</w:t>
            </w:r>
          </w:p>
        </w:tc>
        <w:tc>
          <w:tcPr>
            <w:tcW w:type="dxa" w:w="7000"/>
            <w:vAlign w:val="center"/>
          </w:tcPr>
          <w:p>
            <w:r>
              <w:rPr>
                <w:b w:val="false"/>
                <w:bCs w:val="false"/>
                <w:color w:val="000000"/>
                <w:sz w:val="20"/>
                <w:szCs w:val="20"/>
              </w:rPr>
              <w:t xml:space="preserve">Predicted post-fix performance; subtracted from current performance to yield a responsibility score per node</w:t>
            </w:r>
          </w:p>
        </w:tc>
      </w:tr>
      <w:tr>
        <w:tc>
          <w:tcPr>
            <w:tcW w:type="dxa" w:w="3000"/>
            <w:vAlign w:val="center"/>
          </w:tcPr>
          <w:p>
            <w:r>
              <w:rPr>
                <w:b w:val="false"/>
                <w:bCs w:val="false"/>
                <w:color w:val="000000"/>
                <w:sz w:val="20"/>
                <w:szCs w:val="20"/>
              </w:rPr>
              <w:t xml:space="preserve">Technology</w:t>
            </w:r>
          </w:p>
        </w:tc>
        <w:tc>
          <w:tcPr>
            <w:tcW w:type="dxa" w:w="7000"/>
            <w:vAlign w:val="center"/>
          </w:tcPr>
          <w:p>
            <w:r>
              <w:rPr>
                <w:b w:val="false"/>
                <w:bCs w:val="false"/>
                <w:color w:val="000000"/>
                <w:sz w:val="20"/>
                <w:szCs w:val="20"/>
              </w:rPr>
              <w:t xml:space="preserve">MLP or gradient-boosted trees; trained offline on sandbox drift-injection-and-fix experiments plus historical incident outcomes</w:t>
            </w:r>
          </w:p>
        </w:tc>
      </w:tr>
    </w:tbl>
    <w:p>
      <w:pPr>
        <w:pStyle w:val="Heading2"/>
        <w:spacing w:after="150" w:before="300"/>
      </w:pPr>
      <w:r>
        <w:t xml:space="preserve">4.6 PPO Retraining Scope Optimizer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Field</w:t>
            </w:r>
          </w:p>
        </w:tc>
        <w:tc>
          <w:tcPr>
            <w:tcW w:type="dxa" w:w="7000"/>
            <w:shd w:fill="2F5496" w:val="clear"/>
            <w:vAlign w:val="center"/>
          </w:tcPr>
          <w:p>
            <w:r>
              <w:rPr>
                <w:b/>
                <w:bCs/>
                <w:color w:val="FFFFFF"/>
                <w:sz w:val="20"/>
                <w:szCs w:val="20"/>
              </w:rPr>
              <w:t xml:space="preserve">Description</w:t>
            </w:r>
          </w:p>
        </w:tc>
      </w:tr>
      <w:tr>
        <w:tc>
          <w:tcPr>
            <w:tcW w:type="dxa" w:w="3000"/>
            <w:vAlign w:val="center"/>
          </w:tcPr>
          <w:p>
            <w:r>
              <w:rPr>
                <w:b w:val="false"/>
                <w:bCs w:val="false"/>
                <w:color w:val="000000"/>
                <w:sz w:val="20"/>
                <w:szCs w:val="20"/>
              </w:rPr>
              <w:t xml:space="preserve">Purpose</w:t>
            </w:r>
          </w:p>
        </w:tc>
        <w:tc>
          <w:tcPr>
            <w:tcW w:type="dxa" w:w="7000"/>
            <w:vAlign w:val="center"/>
          </w:tcPr>
          <w:p>
            <w:r>
              <w:rPr>
                <w:b w:val="false"/>
                <w:bCs w:val="false"/>
                <w:color w:val="000000"/>
                <w:sz w:val="20"/>
                <w:szCs w:val="20"/>
              </w:rPr>
              <w:t xml:space="preserve">Decide the minimal sufficient retraining action for the current situation</w:t>
            </w:r>
          </w:p>
        </w:tc>
      </w:tr>
      <w:tr>
        <w:tc>
          <w:tcPr>
            <w:tcW w:type="dxa" w:w="3000"/>
            <w:vAlign w:val="center"/>
          </w:tcPr>
          <w:p>
            <w:r>
              <w:rPr>
                <w:b w:val="false"/>
                <w:bCs w:val="false"/>
                <w:color w:val="000000"/>
                <w:sz w:val="20"/>
                <w:szCs w:val="20"/>
              </w:rPr>
              <w:t xml:space="preserve">Input (state)</w:t>
            </w:r>
          </w:p>
        </w:tc>
        <w:tc>
          <w:tcPr>
            <w:tcW w:type="dxa" w:w="7000"/>
            <w:vAlign w:val="center"/>
          </w:tcPr>
          <w:p>
            <w:r>
              <w:rPr>
                <w:b w:val="false"/>
                <w:bCs w:val="false"/>
                <w:color w:val="000000"/>
                <w:sz w:val="20"/>
                <w:szCs w:val="20"/>
              </w:rPr>
              <w:t xml:space="preserve">Responsibility scores, current performance vs. SLA, drift duration, per-action compute/carbon cost estimate, time since last retrain</w:t>
            </w:r>
          </w:p>
        </w:tc>
      </w:tr>
      <w:tr>
        <w:tc>
          <w:tcPr>
            <w:tcW w:type="dxa" w:w="3000"/>
            <w:vAlign w:val="center"/>
          </w:tcPr>
          <w:p>
            <w:r>
              <w:rPr>
                <w:b w:val="false"/>
                <w:bCs w:val="false"/>
                <w:color w:val="000000"/>
                <w:sz w:val="20"/>
                <w:szCs w:val="20"/>
              </w:rPr>
              <w:t xml:space="preserve">Output (action)</w:t>
            </w:r>
          </w:p>
        </w:tc>
        <w:tc>
          <w:tcPr>
            <w:tcW w:type="dxa" w:w="7000"/>
            <w:vAlign w:val="center"/>
          </w:tcPr>
          <w:p>
            <w:r>
              <w:rPr>
                <w:b w:val="false"/>
                <w:bCs w:val="false"/>
                <w:color w:val="000000"/>
                <w:sz w:val="20"/>
                <w:szCs w:val="20"/>
              </w:rPr>
              <w:t xml:space="preserve">One of: no-op, partial retrain, full retrain</w:t>
            </w:r>
          </w:p>
        </w:tc>
      </w:tr>
      <w:tr>
        <w:tc>
          <w:tcPr>
            <w:tcW w:type="dxa" w:w="3000"/>
            <w:vAlign w:val="center"/>
          </w:tcPr>
          <w:p>
            <w:r>
              <w:rPr>
                <w:b w:val="false"/>
                <w:bCs w:val="false"/>
                <w:color w:val="000000"/>
                <w:sz w:val="20"/>
                <w:szCs w:val="20"/>
              </w:rPr>
              <w:t xml:space="preserve">Technology</w:t>
            </w:r>
          </w:p>
        </w:tc>
        <w:tc>
          <w:tcPr>
            <w:tcW w:type="dxa" w:w="7000"/>
            <w:vAlign w:val="center"/>
          </w:tcPr>
          <w:p>
            <w:r>
              <w:rPr>
                <w:b w:val="false"/>
                <w:bCs w:val="false"/>
                <w:color w:val="000000"/>
                <w:sz w:val="20"/>
                <w:szCs w:val="20"/>
              </w:rPr>
              <w:t xml:space="preserve">PPO (Proximal Policy Optimization) with a Lagrangian-constrained reward (compute cost + carbon cost + SLA-violation penalty), trained in a simulated sandbox environment</w:t>
            </w:r>
          </w:p>
        </w:tc>
      </w:tr>
    </w:tbl>
    <w:p>
      <w:pPr>
        <w:pStyle w:val="Heading2"/>
        <w:spacing w:after="150" w:before="300"/>
      </w:pPr>
      <w:r>
        <w:t xml:space="preserve">4.7 Retraining Executor (EWC / Full Retrain)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Field</w:t>
            </w:r>
          </w:p>
        </w:tc>
        <w:tc>
          <w:tcPr>
            <w:tcW w:type="dxa" w:w="7000"/>
            <w:shd w:fill="2F5496" w:val="clear"/>
            <w:vAlign w:val="center"/>
          </w:tcPr>
          <w:p>
            <w:r>
              <w:rPr>
                <w:b/>
                <w:bCs/>
                <w:color w:val="FFFFFF"/>
                <w:sz w:val="20"/>
                <w:szCs w:val="20"/>
              </w:rPr>
              <w:t xml:space="preserve">Description</w:t>
            </w:r>
          </w:p>
        </w:tc>
      </w:tr>
      <w:tr>
        <w:tc>
          <w:tcPr>
            <w:tcW w:type="dxa" w:w="3000"/>
            <w:vAlign w:val="center"/>
          </w:tcPr>
          <w:p>
            <w:r>
              <w:rPr>
                <w:b w:val="false"/>
                <w:bCs w:val="false"/>
                <w:color w:val="000000"/>
                <w:sz w:val="20"/>
                <w:szCs w:val="20"/>
              </w:rPr>
              <w:t xml:space="preserve">Purpose</w:t>
            </w:r>
          </w:p>
        </w:tc>
        <w:tc>
          <w:tcPr>
            <w:tcW w:type="dxa" w:w="7000"/>
            <w:vAlign w:val="center"/>
          </w:tcPr>
          <w:p>
            <w:r>
              <w:rPr>
                <w:b w:val="false"/>
                <w:bCs w:val="false"/>
                <w:color w:val="000000"/>
                <w:sz w:val="20"/>
                <w:szCs w:val="20"/>
              </w:rPr>
              <w:t xml:space="preserve">Apply the chosen fix to the production model</w:t>
            </w:r>
          </w:p>
        </w:tc>
      </w:tr>
      <w:tr>
        <w:tc>
          <w:tcPr>
            <w:tcW w:type="dxa" w:w="3000"/>
            <w:vAlign w:val="center"/>
          </w:tcPr>
          <w:p>
            <w:r>
              <w:rPr>
                <w:b w:val="false"/>
                <w:bCs w:val="false"/>
                <w:color w:val="000000"/>
                <w:sz w:val="20"/>
                <w:szCs w:val="20"/>
              </w:rPr>
              <w:t xml:space="preserve">Input</w:t>
            </w:r>
          </w:p>
        </w:tc>
        <w:tc>
          <w:tcPr>
            <w:tcW w:type="dxa" w:w="7000"/>
            <w:vAlign w:val="center"/>
          </w:tcPr>
          <w:p>
            <w:r>
              <w:rPr>
                <w:b w:val="false"/>
                <w:bCs w:val="false"/>
                <w:color w:val="000000"/>
                <w:sz w:val="20"/>
                <w:szCs w:val="20"/>
              </w:rPr>
              <w:t xml:space="preserve">The chosen action; for partial retrain, the identified responsible subnetwork/layer</w:t>
            </w:r>
          </w:p>
        </w:tc>
      </w:tr>
      <w:tr>
        <w:tc>
          <w:tcPr>
            <w:tcW w:type="dxa" w:w="3000"/>
            <w:vAlign w:val="center"/>
          </w:tcPr>
          <w:p>
            <w:r>
              <w:rPr>
                <w:b w:val="false"/>
                <w:bCs w:val="false"/>
                <w:color w:val="000000"/>
                <w:sz w:val="20"/>
                <w:szCs w:val="20"/>
              </w:rPr>
              <w:t xml:space="preserve">Output</w:t>
            </w:r>
          </w:p>
        </w:tc>
        <w:tc>
          <w:tcPr>
            <w:tcW w:type="dxa" w:w="7000"/>
            <w:vAlign w:val="center"/>
          </w:tcPr>
          <w:p>
            <w:r>
              <w:rPr>
                <w:b w:val="false"/>
                <w:bCs w:val="false"/>
                <w:color w:val="000000"/>
                <w:sz w:val="20"/>
                <w:szCs w:val="20"/>
              </w:rPr>
              <w:t xml:space="preserve">An updated (but not yet promoted) candidate model</w:t>
            </w:r>
          </w:p>
        </w:tc>
      </w:tr>
      <w:tr>
        <w:tc>
          <w:tcPr>
            <w:tcW w:type="dxa" w:w="3000"/>
            <w:vAlign w:val="center"/>
          </w:tcPr>
          <w:p>
            <w:r>
              <w:rPr>
                <w:b w:val="false"/>
                <w:bCs w:val="false"/>
                <w:color w:val="000000"/>
                <w:sz w:val="20"/>
                <w:szCs w:val="20"/>
              </w:rPr>
              <w:t xml:space="preserve">Technology</w:t>
            </w:r>
          </w:p>
        </w:tc>
        <w:tc>
          <w:tcPr>
            <w:tcW w:type="dxa" w:w="7000"/>
            <w:vAlign w:val="center"/>
          </w:tcPr>
          <w:p>
            <w:r>
              <w:rPr>
                <w:b w:val="false"/>
                <w:bCs w:val="false"/>
                <w:color w:val="000000"/>
                <w:sz w:val="20"/>
                <w:szCs w:val="20"/>
              </w:rPr>
              <w:t xml:space="preserve">Partial: freeze all but the targeted layer(s), fine-tune with an Elastic Weight Consolidation (EWC) penalty plus a replay buffer of historical data. Full: standard retrain of the entire model on historical + new data</w:t>
            </w:r>
          </w:p>
        </w:tc>
      </w:tr>
    </w:tbl>
    <w:p>
      <w:pPr>
        <w:pStyle w:val="Heading2"/>
        <w:spacing w:after="150" w:before="300"/>
      </w:pPr>
      <w:r>
        <w:t xml:space="preserve">4.8 Shadow / Canary Validator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Field</w:t>
            </w:r>
          </w:p>
        </w:tc>
        <w:tc>
          <w:tcPr>
            <w:tcW w:type="dxa" w:w="7000"/>
            <w:shd w:fill="2F5496" w:val="clear"/>
            <w:vAlign w:val="center"/>
          </w:tcPr>
          <w:p>
            <w:r>
              <w:rPr>
                <w:b/>
                <w:bCs/>
                <w:color w:val="FFFFFF"/>
                <w:sz w:val="20"/>
                <w:szCs w:val="20"/>
              </w:rPr>
              <w:t xml:space="preserve">Description</w:t>
            </w:r>
          </w:p>
        </w:tc>
      </w:tr>
      <w:tr>
        <w:tc>
          <w:tcPr>
            <w:tcW w:type="dxa" w:w="3000"/>
            <w:vAlign w:val="center"/>
          </w:tcPr>
          <w:p>
            <w:r>
              <w:rPr>
                <w:b w:val="false"/>
                <w:bCs w:val="false"/>
                <w:color w:val="000000"/>
                <w:sz w:val="20"/>
                <w:szCs w:val="20"/>
              </w:rPr>
              <w:t xml:space="preserve">Purpose</w:t>
            </w:r>
          </w:p>
        </w:tc>
        <w:tc>
          <w:tcPr>
            <w:tcW w:type="dxa" w:w="7000"/>
            <w:vAlign w:val="center"/>
          </w:tcPr>
          <w:p>
            <w:r>
              <w:rPr>
                <w:b w:val="false"/>
                <w:bCs w:val="false"/>
                <w:color w:val="000000"/>
                <w:sz w:val="20"/>
                <w:szCs w:val="20"/>
              </w:rPr>
              <w:t xml:space="preserve">Confirm a candidate model actually recovers performance before it serves real traffic</w:t>
            </w:r>
          </w:p>
        </w:tc>
      </w:tr>
      <w:tr>
        <w:tc>
          <w:tcPr>
            <w:tcW w:type="dxa" w:w="3000"/>
            <w:vAlign w:val="center"/>
          </w:tcPr>
          <w:p>
            <w:r>
              <w:rPr>
                <w:b w:val="false"/>
                <w:bCs w:val="false"/>
                <w:color w:val="000000"/>
                <w:sz w:val="20"/>
                <w:szCs w:val="20"/>
              </w:rPr>
              <w:t xml:space="preserve">Input</w:t>
            </w:r>
          </w:p>
        </w:tc>
        <w:tc>
          <w:tcPr>
            <w:tcW w:type="dxa" w:w="7000"/>
            <w:vAlign w:val="center"/>
          </w:tcPr>
          <w:p>
            <w:r>
              <w:rPr>
                <w:b w:val="false"/>
                <w:bCs w:val="false"/>
                <w:color w:val="000000"/>
                <w:sz w:val="20"/>
                <w:szCs w:val="20"/>
              </w:rPr>
              <w:t xml:space="preserve">Candidate model + a held-out recent validation window</w:t>
            </w:r>
          </w:p>
        </w:tc>
      </w:tr>
      <w:tr>
        <w:tc>
          <w:tcPr>
            <w:tcW w:type="dxa" w:w="3000"/>
            <w:vAlign w:val="center"/>
          </w:tcPr>
          <w:p>
            <w:r>
              <w:rPr>
                <w:b w:val="false"/>
                <w:bCs w:val="false"/>
                <w:color w:val="000000"/>
                <w:sz w:val="20"/>
                <w:szCs w:val="20"/>
              </w:rPr>
              <w:t xml:space="preserve">Output</w:t>
            </w:r>
          </w:p>
        </w:tc>
        <w:tc>
          <w:tcPr>
            <w:tcW w:type="dxa" w:w="7000"/>
            <w:vAlign w:val="center"/>
          </w:tcPr>
          <w:p>
            <w:r>
              <w:rPr>
                <w:b w:val="false"/>
                <w:bCs w:val="false"/>
                <w:color w:val="000000"/>
                <w:sz w:val="20"/>
                <w:szCs w:val="20"/>
              </w:rPr>
              <w:t xml:space="preserve">Promote (full rollout via canary) or roll back (log failure, feed outcome back to the surrogate as a new training example)</w:t>
            </w:r>
          </w:p>
        </w:tc>
      </w:tr>
      <w:tr>
        <w:tc>
          <w:tcPr>
            <w:tcW w:type="dxa" w:w="3000"/>
            <w:vAlign w:val="center"/>
          </w:tcPr>
          <w:p>
            <w:r>
              <w:rPr>
                <w:b w:val="false"/>
                <w:bCs w:val="false"/>
                <w:color w:val="000000"/>
                <w:sz w:val="20"/>
                <w:szCs w:val="20"/>
              </w:rPr>
              <w:t xml:space="preserve">Technology</w:t>
            </w:r>
          </w:p>
        </w:tc>
        <w:tc>
          <w:tcPr>
            <w:tcW w:type="dxa" w:w="7000"/>
            <w:vAlign w:val="center"/>
          </w:tcPr>
          <w:p>
            <w:r>
              <w:rPr>
                <w:b w:val="false"/>
                <w:bCs w:val="false"/>
                <w:color w:val="000000"/>
                <w:sz w:val="20"/>
                <w:szCs w:val="20"/>
              </w:rPr>
              <w:t xml:space="preserve">Shadow-mode scoring in parallel with production; staged canary rollout on promotion</w:t>
            </w:r>
          </w:p>
        </w:tc>
      </w:tr>
    </w:tbl>
    <w:p>
      <w:pPr>
        <w:pStyle w:val="Heading2"/>
        <w:spacing w:after="150" w:before="300"/>
      </w:pPr>
      <w:r>
        <w:t xml:space="preserve">4.9 Supporting Services</w:t>
      </w:r>
    </w:p>
    <w:p>
      <w:pPr>
        <w:pStyle w:val="ListParagraph"/>
        <w:numPr>
          <w:ilvl w:val="0"/>
          <w:numId w:val="1"/>
        </w:numPr>
        <w:spacing w:after="80"/>
      </w:pPr>
      <w:r>
        <w:t xml:space="preserve">Model Registry — versioned storage of production model checkpoints and metadata (MLflow).</w:t>
      </w:r>
    </w:p>
    <w:p>
      <w:pPr>
        <w:pStyle w:val="ListParagraph"/>
        <w:numPr>
          <w:ilvl w:val="0"/>
          <w:numId w:val="1"/>
        </w:numPr>
        <w:spacing w:after="80"/>
      </w:pPr>
      <w:r>
        <w:t xml:space="preserve">Cost/Carbon Estimator — compute-hours x grid carbon-intensity, feeding the PPO reward (CodeCarbon / Electricity Maps API).</w:t>
      </w:r>
    </w:p>
    <w:p>
      <w:pPr>
        <w:pStyle w:val="ListParagraph"/>
        <w:numPr>
          <w:ilvl w:val="0"/>
          <w:numId w:val="1"/>
        </w:numPr>
        <w:spacing w:after="80"/>
      </w:pPr>
      <w:r>
        <w:t xml:space="preserve">Monitoring Dashboard — visualizes drift alerts, CDAG attributions, and retraining history (Grafana + Prometheus, or a custom app).</w:t>
      </w:r>
    </w:p>
    <w:p>
      <w:pPr>
        <w:pStyle w:val="ListParagraph"/>
        <w:numPr>
          <w:ilvl w:val="0"/>
          <w:numId w:val="1"/>
        </w:numPr>
        <w:spacing w:after="80"/>
      </w:pPr>
      <w:r>
        <w:t xml:space="preserve">Audit Log — records every decision and its justification for compliance and explainability review.</w:t>
      </w:r>
    </w:p>
    <w:p>
      <w:pPr>
        <w:pStyle w:val="Heading1"/>
        <w:spacing w:after="200" w:before="400"/>
      </w:pPr>
      <w:r>
        <w:t xml:space="preserve">5. Model Adapter Layer (Multi-Model-Type Support)</w:t>
      </w:r>
    </w:p>
    <w:p>
      <w:pPr>
        <w:spacing w:after="150"/>
      </w:pPr>
      <w:r>
        <w:t xml:space="preserve">CADENCE's reasoning core (CDAG, GNN, surrogate, PPO) operates on statistics over time and is model-agnostic. Only two responsibilities are model-type-specific, and each is isolated behind a thin adapter interface:</w:t>
      </w:r>
    </w:p>
    <w:p>
      <w:pPr>
        <w:pStyle w:val="ListParagraph"/>
        <w:numPr>
          <w:ilvl w:val="0"/>
          <w:numId w:val="1"/>
        </w:numPr>
        <w:spacing w:after="80"/>
      </w:pPr>
      <w:r>
        <w:t xml:space="preserve">Extracting an 'internal representation' proxy equivalent to a neural network's activations.</w:t>
      </w:r>
    </w:p>
    <w:p>
      <w:pPr>
        <w:pStyle w:val="ListParagraph"/>
        <w:numPr>
          <w:ilvl w:val="0"/>
          <w:numId w:val="1"/>
        </w:numPr>
        <w:spacing w:after="80"/>
      </w:pPr>
      <w:r>
        <w:t xml:space="preserve">Executing a 'partial retrain' appropriate to that model family.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00"/>
      </w:tblGrid>
      <w:tr>
        <w:trPr>
          <w:tblHeader/>
        </w:trPr>
        <w:tc>
          <w:tcPr>
            <w:tcW w:type="dxa" w:w="2800"/>
            <w:shd w:fill="2F5496" w:val="clear"/>
            <w:vAlign w:val="center"/>
          </w:tcPr>
          <w:p>
            <w:r>
              <w:rPr>
                <w:b/>
                <w:bCs/>
                <w:color w:val="FFFFFF"/>
                <w:sz w:val="20"/>
                <w:szCs w:val="20"/>
              </w:rPr>
              <w:t xml:space="preserve">Model Type</w:t>
            </w:r>
          </w:p>
        </w:tc>
        <w:tc>
          <w:tcPr>
            <w:tcW w:type="dxa" w:w="3600"/>
            <w:shd w:fill="2F5496" w:val="clear"/>
            <w:vAlign w:val="center"/>
          </w:tcPr>
          <w:p>
            <w:r>
              <w:rPr>
                <w:b/>
                <w:bCs/>
                <w:color w:val="FFFFFF"/>
                <w:sz w:val="20"/>
                <w:szCs w:val="20"/>
              </w:rPr>
              <w:t xml:space="preserve">Internal-Representation Proxy</w:t>
            </w:r>
          </w:p>
        </w:tc>
        <w:tc>
          <w:tcPr>
            <w:tcW w:type="dxa" w:w="3600"/>
            <w:shd w:fill="2F5496" w:val="clear"/>
            <w:vAlign w:val="center"/>
          </w:tcPr>
          <w:p>
            <w:r>
              <w:rPr>
                <w:b/>
                <w:bCs/>
                <w:color w:val="FFFFFF"/>
                <w:sz w:val="20"/>
                <w:szCs w:val="20"/>
              </w:rPr>
              <w:t xml:space="preserve">Partial-Retrain Mechanism</w:t>
            </w:r>
          </w:p>
        </w:tc>
      </w:tr>
      <w:tr>
        <w:tc>
          <w:tcPr>
            <w:tcW w:type="dxa" w:w="2800"/>
            <w:vAlign w:val="center"/>
          </w:tcPr>
          <w:p>
            <w:r>
              <w:rPr>
                <w:b w:val="false"/>
                <w:bCs w:val="false"/>
                <w:color w:val="000000"/>
                <w:sz w:val="20"/>
                <w:szCs w:val="20"/>
              </w:rPr>
              <w:t xml:space="preserve">Neural network (MLP/CNN/small transformer)</w:t>
            </w:r>
          </w:p>
        </w:tc>
        <w:tc>
          <w:tcPr>
            <w:tcW w:type="dxa" w:w="3600"/>
            <w:vAlign w:val="center"/>
          </w:tcPr>
          <w:p>
            <w:r>
              <w:rPr>
                <w:b w:val="false"/>
                <w:bCs w:val="false"/>
                <w:color w:val="000000"/>
                <w:sz w:val="20"/>
                <w:szCs w:val="20"/>
              </w:rPr>
              <w:t xml:space="preserve">Per-layer activation clusters (k-means over hidden-layer outputs)</w:t>
            </w:r>
          </w:p>
        </w:tc>
        <w:tc>
          <w:tcPr>
            <w:tcW w:type="dxa" w:w="3600"/>
            <w:vAlign w:val="center"/>
          </w:tcPr>
          <w:p>
            <w:r>
              <w:rPr>
                <w:b w:val="false"/>
                <w:bCs w:val="false"/>
                <w:color w:val="000000"/>
                <w:sz w:val="20"/>
                <w:szCs w:val="20"/>
              </w:rPr>
              <w:t xml:space="preserve">Freeze all but the identified layer(s); EWC-regularized fine-tune</w:t>
            </w:r>
          </w:p>
        </w:tc>
      </w:tr>
      <w:tr>
        <w:tc>
          <w:tcPr>
            <w:tcW w:type="dxa" w:w="2800"/>
            <w:vAlign w:val="center"/>
          </w:tcPr>
          <w:p>
            <w:r>
              <w:rPr>
                <w:b w:val="false"/>
                <w:bCs w:val="false"/>
                <w:color w:val="000000"/>
                <w:sz w:val="20"/>
                <w:szCs w:val="20"/>
              </w:rPr>
              <w:t xml:space="preserve">Tree ensemble (XGBoost/LightGBM)</w:t>
            </w:r>
          </w:p>
        </w:tc>
        <w:tc>
          <w:tcPr>
            <w:tcW w:type="dxa" w:w="3600"/>
            <w:vAlign w:val="center"/>
          </w:tcPr>
          <w:p>
            <w:r>
              <w:rPr>
                <w:b w:val="false"/>
                <w:bCs w:val="false"/>
                <w:color w:val="000000"/>
                <w:sz w:val="20"/>
                <w:szCs w:val="20"/>
              </w:rPr>
              <w:t xml:space="preserve">Per-tree leaf-assignment distributions or SHAP contribution distributions</w:t>
            </w:r>
          </w:p>
        </w:tc>
        <w:tc>
          <w:tcPr>
            <w:tcW w:type="dxa" w:w="3600"/>
            <w:vAlign w:val="center"/>
          </w:tcPr>
          <w:p>
            <w:r>
              <w:rPr>
                <w:b w:val="false"/>
                <w:bCs w:val="false"/>
                <w:color w:val="000000"/>
                <w:sz w:val="20"/>
                <w:szCs w:val="20"/>
              </w:rPr>
              <w:t xml:space="preserve">Additional boosting rounds targeted at the affected data region, or retraining only the trees that split on the drifted feature</w:t>
            </w:r>
          </w:p>
        </w:tc>
      </w:tr>
      <w:tr>
        <w:tc>
          <w:tcPr>
            <w:tcW w:type="dxa" w:w="2800"/>
            <w:vAlign w:val="center"/>
          </w:tcPr>
          <w:p>
            <w:r>
              <w:rPr>
                <w:b w:val="false"/>
                <w:bCs w:val="false"/>
                <w:color w:val="000000"/>
                <w:sz w:val="20"/>
                <w:szCs w:val="20"/>
              </w:rPr>
              <w:t xml:space="preserve">Linear/logistic regression</w:t>
            </w:r>
          </w:p>
        </w:tc>
        <w:tc>
          <w:tcPr>
            <w:tcW w:type="dxa" w:w="3600"/>
            <w:vAlign w:val="center"/>
          </w:tcPr>
          <w:p>
            <w:r>
              <w:rPr>
                <w:b w:val="false"/>
                <w:bCs w:val="false"/>
                <w:color w:val="000000"/>
                <w:sz w:val="20"/>
                <w:szCs w:val="20"/>
              </w:rPr>
              <w:t xml:space="preserve">Per-coefficient contribution distributions (weight x feature value)</w:t>
            </w:r>
          </w:p>
        </w:tc>
        <w:tc>
          <w:tcPr>
            <w:tcW w:type="dxa" w:w="3600"/>
            <w:vAlign w:val="center"/>
          </w:tcPr>
          <w:p>
            <w:r>
              <w:rPr>
                <w:b w:val="false"/>
                <w:bCs w:val="false"/>
                <w:color w:val="000000"/>
                <w:sz w:val="20"/>
                <w:szCs w:val="20"/>
              </w:rPr>
              <w:t xml:space="preserve">Selectively refit specific coefficients, regularizing the rest toward prior values (an EWC-style penalty applied to a linear model)</w:t>
            </w:r>
          </w:p>
        </w:tc>
      </w:tr>
      <w:tr>
        <w:tc>
          <w:tcPr>
            <w:tcW w:type="dxa" w:w="2800"/>
            <w:vAlign w:val="center"/>
          </w:tcPr>
          <w:p>
            <w:r>
              <w:rPr>
                <w:b w:val="false"/>
                <w:bCs w:val="false"/>
                <w:color w:val="000000"/>
                <w:sz w:val="20"/>
                <w:szCs w:val="20"/>
              </w:rPr>
              <w:t xml:space="preserve">Black-box / API-wrapped model</w:t>
            </w:r>
          </w:p>
        </w:tc>
        <w:tc>
          <w:tcPr>
            <w:tcW w:type="dxa" w:w="3600"/>
            <w:vAlign w:val="center"/>
          </w:tcPr>
          <w:p>
            <w:r>
              <w:rPr>
                <w:b w:val="false"/>
                <w:bCs w:val="false"/>
                <w:color w:val="000000"/>
                <w:sz w:val="20"/>
                <w:szCs w:val="20"/>
              </w:rPr>
              <w:t xml:space="preserve">No internal nodes available; external feature-drift nodes plus output-distribution proxy only</w:t>
            </w:r>
          </w:p>
        </w:tc>
        <w:tc>
          <w:tcPr>
            <w:tcW w:type="dxa" w:w="3600"/>
            <w:vAlign w:val="center"/>
          </w:tcPr>
          <w:p>
            <w:r>
              <w:rPr>
                <w:b w:val="false"/>
                <w:bCs w:val="false"/>
                <w:color w:val="000000"/>
                <w:sz w:val="20"/>
                <w:szCs w:val="20"/>
              </w:rPr>
              <w:t xml:space="preserve">Not supported — full retrain only, and the system communicates this limitation explicitly</w:t>
            </w:r>
          </w:p>
        </w:tc>
      </w:tr>
    </w:tbl>
    <w:p>
      <w:pPr>
        <w:spacing w:after="150"/>
      </w:pPr>
      <w:r>
        <w:t xml:space="preserve">Cross-adapter score comparability is not automatic: a responsibility score from the neural adapter and one from the tree adapter are not guaranteed to be on the same scale without an explicit calibration step. This is called out as an open design decision in Section 10.</w:t>
      </w:r>
    </w:p>
    <w:p>
      <w:pPr>
        <w:pStyle w:val="Heading1"/>
        <w:spacing w:after="200" w:before="400"/>
      </w:pPr>
      <w:r>
        <w:t xml:space="preserve">6. Data Flow</w:t>
      </w:r>
    </w:p>
    <w:p>
      <w:pPr>
        <w:spacing w:after="150"/>
      </w:pPr>
      <w:r>
        <w:t xml:space="preserve">The table below traces exactly what data moves between components, in pipeline order.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2F5496" w:val="clear"/>
            <w:vAlign w:val="center"/>
          </w:tcPr>
          <w:p>
            <w:r>
              <w:rPr>
                <w:b/>
                <w:bCs/>
                <w:color w:val="FFFFFF"/>
                <w:sz w:val="20"/>
                <w:szCs w:val="20"/>
              </w:rPr>
              <w:t xml:space="preserve">Stage</w:t>
            </w:r>
          </w:p>
        </w:tc>
        <w:tc>
          <w:tcPr>
            <w:tcW w:type="dxa" w:w="6800"/>
            <w:shd w:fill="2F5496" w:val="clear"/>
            <w:vAlign w:val="center"/>
          </w:tcPr>
          <w:p>
            <w:r>
              <w:rPr>
                <w:b/>
                <w:bCs/>
                <w:color w:val="FFFFFF"/>
                <w:sz w:val="20"/>
                <w:szCs w:val="20"/>
              </w:rPr>
              <w:t xml:space="preserve">Data Passed</w:t>
            </w:r>
          </w:p>
        </w:tc>
      </w:tr>
      <w:tr>
        <w:tc>
          <w:tcPr>
            <w:tcW w:type="dxa" w:w="3200"/>
            <w:vAlign w:val="center"/>
          </w:tcPr>
          <w:p>
            <w:r>
              <w:rPr>
                <w:b w:val="false"/>
                <w:bCs w:val="false"/>
                <w:color w:val="000000"/>
                <w:sz w:val="20"/>
                <w:szCs w:val="20"/>
              </w:rPr>
              <w:t xml:space="preserve">Production traffic to Collector</w:t>
            </w:r>
          </w:p>
        </w:tc>
        <w:tc>
          <w:tcPr>
            <w:tcW w:type="dxa" w:w="6800"/>
            <w:vAlign w:val="center"/>
          </w:tcPr>
          <w:p>
            <w:r>
              <w:rPr>
                <w:b w:val="false"/>
                <w:bCs w:val="false"/>
                <w:color w:val="000000"/>
                <w:sz w:val="20"/>
                <w:szCs w:val="20"/>
              </w:rPr>
              <w:t xml:space="preserve">Feature vector, prediction, internal activations, delayed label (if/when available)</w:t>
            </w:r>
          </w:p>
        </w:tc>
      </w:tr>
      <w:tr>
        <w:tc>
          <w:tcPr>
            <w:tcW w:type="dxa" w:w="3200"/>
            <w:vAlign w:val="center"/>
          </w:tcPr>
          <w:p>
            <w:r>
              <w:rPr>
                <w:b w:val="false"/>
                <w:bCs w:val="false"/>
                <w:color w:val="000000"/>
                <w:sz w:val="20"/>
                <w:szCs w:val="20"/>
              </w:rPr>
              <w:t xml:space="preserve">Collector to Drift Trigger</w:t>
            </w:r>
          </w:p>
        </w:tc>
        <w:tc>
          <w:tcPr>
            <w:tcW w:type="dxa" w:w="6800"/>
            <w:vAlign w:val="center"/>
          </w:tcPr>
          <w:p>
            <w:r>
              <w:rPr>
                <w:b w:val="false"/>
                <w:bCs w:val="false"/>
                <w:color w:val="000000"/>
                <w:sz w:val="20"/>
                <w:szCs w:val="20"/>
              </w:rPr>
              <w:t xml:space="preserve">Rolling windowed statistics per feature and performance metric</w:t>
            </w:r>
          </w:p>
        </w:tc>
      </w:tr>
      <w:tr>
        <w:tc>
          <w:tcPr>
            <w:tcW w:type="dxa" w:w="3200"/>
            <w:vAlign w:val="center"/>
          </w:tcPr>
          <w:p>
            <w:r>
              <w:rPr>
                <w:b w:val="false"/>
                <w:bCs w:val="false"/>
                <w:color w:val="000000"/>
                <w:sz w:val="20"/>
                <w:szCs w:val="20"/>
              </w:rPr>
              <w:t xml:space="preserve">Drift Trigger to CDAG Builder</w:t>
            </w:r>
          </w:p>
        </w:tc>
        <w:tc>
          <w:tcPr>
            <w:tcW w:type="dxa" w:w="6800"/>
            <w:vAlign w:val="center"/>
          </w:tcPr>
          <w:p>
            <w:r>
              <w:rPr>
                <w:b w:val="false"/>
                <w:bCs w:val="false"/>
                <w:color w:val="000000"/>
                <w:sz w:val="20"/>
                <w:szCs w:val="20"/>
              </w:rPr>
              <w:t xml:space="preserve">Alert with the triggering window's identifier and current performance snapshot</w:t>
            </w:r>
          </w:p>
        </w:tc>
      </w:tr>
      <w:tr>
        <w:tc>
          <w:tcPr>
            <w:tcW w:type="dxa" w:w="3200"/>
            <w:vAlign w:val="center"/>
          </w:tcPr>
          <w:p>
            <w:r>
              <w:rPr>
                <w:b w:val="false"/>
                <w:bCs w:val="false"/>
                <w:color w:val="000000"/>
                <w:sz w:val="20"/>
                <w:szCs w:val="20"/>
              </w:rPr>
              <w:t xml:space="preserve">CDAG Builder to GNN</w:t>
            </w:r>
          </w:p>
        </w:tc>
        <w:tc>
          <w:tcPr>
            <w:tcW w:type="dxa" w:w="6800"/>
            <w:vAlign w:val="center"/>
          </w:tcPr>
          <w:p>
            <w:r>
              <w:rPr>
                <w:b w:val="false"/>
                <w:bCs w:val="false"/>
                <w:color w:val="000000"/>
                <w:sz w:val="20"/>
                <w:szCs w:val="20"/>
              </w:rPr>
              <w:t xml:space="preserve">Graph structure: node feature vectors (feature-node stats, activation-cluster stats) and edge weights</w:t>
            </w:r>
          </w:p>
        </w:tc>
      </w:tr>
      <w:tr>
        <w:tc>
          <w:tcPr>
            <w:tcW w:type="dxa" w:w="3200"/>
            <w:vAlign w:val="center"/>
          </w:tcPr>
          <w:p>
            <w:r>
              <w:rPr>
                <w:b w:val="false"/>
                <w:bCs w:val="false"/>
                <w:color w:val="000000"/>
                <w:sz w:val="20"/>
                <w:szCs w:val="20"/>
              </w:rPr>
              <w:t xml:space="preserve">GNN to Surrogate</w:t>
            </w:r>
          </w:p>
        </w:tc>
        <w:tc>
          <w:tcPr>
            <w:tcW w:type="dxa" w:w="6800"/>
            <w:vAlign w:val="center"/>
          </w:tcPr>
          <w:p>
            <w:r>
              <w:rPr>
                <w:b w:val="false"/>
                <w:bCs w:val="false"/>
                <w:color w:val="000000"/>
                <w:sz w:val="20"/>
                <w:szCs w:val="20"/>
              </w:rPr>
              <w:t xml:space="preserve">Per-node embedding vectors</w:t>
            </w:r>
          </w:p>
        </w:tc>
      </w:tr>
      <w:tr>
        <w:tc>
          <w:tcPr>
            <w:tcW w:type="dxa" w:w="3200"/>
            <w:vAlign w:val="center"/>
          </w:tcPr>
          <w:p>
            <w:r>
              <w:rPr>
                <w:b w:val="false"/>
                <w:bCs w:val="false"/>
                <w:color w:val="000000"/>
                <w:sz w:val="20"/>
                <w:szCs w:val="20"/>
              </w:rPr>
              <w:t xml:space="preserve">Surrogate to PPO</w:t>
            </w:r>
          </w:p>
        </w:tc>
        <w:tc>
          <w:tcPr>
            <w:tcW w:type="dxa" w:w="6800"/>
            <w:vAlign w:val="center"/>
          </w:tcPr>
          <w:p>
            <w:r>
              <w:rPr>
                <w:b w:val="false"/>
                <w:bCs w:val="false"/>
                <w:color w:val="000000"/>
                <w:sz w:val="20"/>
                <w:szCs w:val="20"/>
              </w:rPr>
              <w:t xml:space="preserve">Ranked responsibility scores per node</w:t>
            </w:r>
          </w:p>
        </w:tc>
      </w:tr>
      <w:tr>
        <w:tc>
          <w:tcPr>
            <w:tcW w:type="dxa" w:w="3200"/>
            <w:vAlign w:val="center"/>
          </w:tcPr>
          <w:p>
            <w:r>
              <w:rPr>
                <w:b w:val="false"/>
                <w:bCs w:val="false"/>
                <w:color w:val="000000"/>
                <w:sz w:val="20"/>
                <w:szCs w:val="20"/>
              </w:rPr>
              <w:t xml:space="preserve">PPO to Executor</w:t>
            </w:r>
          </w:p>
        </w:tc>
        <w:tc>
          <w:tcPr>
            <w:tcW w:type="dxa" w:w="6800"/>
            <w:vAlign w:val="center"/>
          </w:tcPr>
          <w:p>
            <w:r>
              <w:rPr>
                <w:b w:val="false"/>
                <w:bCs w:val="false"/>
                <w:color w:val="000000"/>
                <w:sz w:val="20"/>
                <w:szCs w:val="20"/>
              </w:rPr>
              <w:t xml:space="preserve">Chosen action (no-op / partial / full) and, for partial, the identified subnetwork</w:t>
            </w:r>
          </w:p>
        </w:tc>
      </w:tr>
      <w:tr>
        <w:tc>
          <w:tcPr>
            <w:tcW w:type="dxa" w:w="3200"/>
            <w:vAlign w:val="center"/>
          </w:tcPr>
          <w:p>
            <w:r>
              <w:rPr>
                <w:b w:val="false"/>
                <w:bCs w:val="false"/>
                <w:color w:val="000000"/>
                <w:sz w:val="20"/>
                <w:szCs w:val="20"/>
              </w:rPr>
              <w:t xml:space="preserve">Executor to Validator</w:t>
            </w:r>
          </w:p>
        </w:tc>
        <w:tc>
          <w:tcPr>
            <w:tcW w:type="dxa" w:w="6800"/>
            <w:vAlign w:val="center"/>
          </w:tcPr>
          <w:p>
            <w:r>
              <w:rPr>
                <w:b w:val="false"/>
                <w:bCs w:val="false"/>
                <w:color w:val="000000"/>
                <w:sz w:val="20"/>
                <w:szCs w:val="20"/>
              </w:rPr>
              <w:t xml:space="preserve">Candidate model checkpoint</w:t>
            </w:r>
          </w:p>
        </w:tc>
      </w:tr>
      <w:tr>
        <w:tc>
          <w:tcPr>
            <w:tcW w:type="dxa" w:w="3200"/>
            <w:vAlign w:val="center"/>
          </w:tcPr>
          <w:p>
            <w:r>
              <w:rPr>
                <w:b w:val="false"/>
                <w:bCs w:val="false"/>
                <w:color w:val="000000"/>
                <w:sz w:val="20"/>
                <w:szCs w:val="20"/>
              </w:rPr>
              <w:t xml:space="preserve">Validator to Registry/Traffic</w:t>
            </w:r>
          </w:p>
        </w:tc>
        <w:tc>
          <w:tcPr>
            <w:tcW w:type="dxa" w:w="6800"/>
            <w:vAlign w:val="center"/>
          </w:tcPr>
          <w:p>
            <w:r>
              <w:rPr>
                <w:b w:val="false"/>
                <w:bCs w:val="false"/>
                <w:color w:val="000000"/>
                <w:sz w:val="20"/>
                <w:szCs w:val="20"/>
              </w:rPr>
              <w:t xml:space="preserve">Promotion decision; on failure, a (predicted, actual) outcome pair fed back to the Surrogate's training set</w:t>
            </w:r>
          </w:p>
        </w:tc>
      </w:tr>
    </w:tbl>
    <w:p>
      <w:pPr>
        <w:pStyle w:val="Heading1"/>
        <w:spacing w:after="200" w:before="400"/>
      </w:pPr>
      <w:r>
        <w:t xml:space="preserve">7. Deployment View</w:t>
      </w:r>
    </w:p>
    <w:p>
      <w:pPr>
        <w:pStyle w:val="Heading2"/>
        <w:spacing w:after="150" w:before="300"/>
      </w:pPr>
      <w:r>
        <w:t xml:space="preserve">7.1 What runs continuously (online)</w:t>
      </w:r>
    </w:p>
    <w:p>
      <w:pPr>
        <w:pStyle w:val="ListParagraph"/>
        <w:numPr>
          <w:ilvl w:val="0"/>
          <w:numId w:val="1"/>
        </w:numPr>
        <w:spacing w:after="80"/>
      </w:pPr>
      <w:r>
        <w:t xml:space="preserve">Inference Gateway and Streaming Collector — always on, low-latency path.</w:t>
      </w:r>
    </w:p>
    <w:p>
      <w:pPr>
        <w:pStyle w:val="ListParagraph"/>
        <w:numPr>
          <w:ilvl w:val="0"/>
          <w:numId w:val="1"/>
        </w:numPr>
        <w:spacing w:after="80"/>
      </w:pPr>
      <w:r>
        <w:t xml:space="preserve">Drift Detection Trigger — runs on a schedule (e.g., every N minutes) or per-window.</w:t>
      </w:r>
    </w:p>
    <w:p>
      <w:pPr>
        <w:pStyle w:val="Heading2"/>
        <w:spacing w:after="150" w:before="300"/>
      </w:pPr>
      <w:r>
        <w:t xml:space="preserve">7.2 What runs on-demand (triggered by an alert)</w:t>
      </w:r>
    </w:p>
    <w:p>
      <w:pPr>
        <w:pStyle w:val="ListParagraph"/>
        <w:numPr>
          <w:ilvl w:val="0"/>
          <w:numId w:val="1"/>
        </w:numPr>
        <w:spacing w:after="80"/>
      </w:pPr>
      <w:r>
        <w:t xml:space="preserve">CDAG Builder, GNN inference, Surrogate inference, PPO inference — invoked only when a drift alert fires, since these are more compute-intensive.</w:t>
      </w:r>
    </w:p>
    <w:p>
      <w:pPr>
        <w:pStyle w:val="ListParagraph"/>
        <w:numPr>
          <w:ilvl w:val="0"/>
          <w:numId w:val="1"/>
        </w:numPr>
        <w:spacing w:after="80"/>
      </w:pPr>
      <w:r>
        <w:t xml:space="preserve">Retraining Executor — invoked only when PPO chooses partial or full retrain.</w:t>
      </w:r>
    </w:p>
    <w:p>
      <w:pPr>
        <w:pStyle w:val="Heading2"/>
        <w:spacing w:after="150" w:before="300"/>
      </w:pPr>
      <w:r>
        <w:t xml:space="preserve">7.3 What is trained offline, ahead of time</w:t>
      </w:r>
    </w:p>
    <w:p>
      <w:pPr>
        <w:pStyle w:val="ListParagraph"/>
        <w:numPr>
          <w:ilvl w:val="0"/>
          <w:numId w:val="1"/>
        </w:numPr>
        <w:spacing w:after="80"/>
      </w:pPr>
      <w:r>
        <w:t xml:space="preserve">GNN + Surrogate joint training — trained periodically from an offline sandbox of drift-injection-and-fix experiments plus accumulated historical incidents.</w:t>
      </w:r>
    </w:p>
    <w:p>
      <w:pPr>
        <w:pStyle w:val="ListParagraph"/>
        <w:numPr>
          <w:ilvl w:val="0"/>
          <w:numId w:val="1"/>
        </w:numPr>
        <w:spacing w:after="80"/>
      </w:pPr>
      <w:r>
        <w:t xml:space="preserve">PPO policy training — trained in a simulated Gym-style environment before being trusted with live decisions; may be conservatively fine-tuned online later.</w:t>
      </w:r>
    </w:p>
    <w:p>
      <w:pPr>
        <w:pStyle w:val="Heading2"/>
        <w:spacing w:after="150" w:before="300"/>
      </w:pPr>
      <w:r>
        <w:t xml:space="preserve">7.4 Hardware notes</w:t>
      </w:r>
    </w:p>
    <w:p>
      <w:pPr>
        <w:spacing w:after="150"/>
      </w:pPr>
      <w:r>
        <w:t xml:space="preserve">The production model, GNN, and surrogate are all intentionally small enough to train and run on a single consumer GPU (4GB VRAM class) for the initial research build. PPO training happens against a simulator, not real infrastructure, so it does not require additional hardware beyond the local machine. Heavier real-world datasets (e.g., full-scale Criteo/Avazu) are deferred to free cloud GPU sessions (Colab/Kaggle) rather than assumed as a hardware requirement.</w:t>
      </w:r>
    </w:p>
    <w:p>
      <w:pPr>
        <w:pStyle w:val="Heading1"/>
        <w:spacing w:after="200" w:before="400"/>
      </w:pPr>
      <w:r>
        <w:t xml:space="preserve">8.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F5496" w:val="clear"/>
            <w:vAlign w:val="center"/>
          </w:tcPr>
          <w:p>
            <w:r>
              <w:rPr>
                <w:b/>
                <w:bCs/>
                <w:color w:val="FFFFFF"/>
                <w:sz w:val="20"/>
                <w:szCs w:val="20"/>
              </w:rPr>
              <w:t xml:space="preserve">Layer</w:t>
            </w:r>
          </w:p>
        </w:tc>
        <w:tc>
          <w:tcPr>
            <w:tcW w:type="dxa" w:w="7000"/>
            <w:shd w:fill="2F5496" w:val="clear"/>
            <w:vAlign w:val="center"/>
          </w:tcPr>
          <w:p>
            <w:r>
              <w:rPr>
                <w:b/>
                <w:bCs/>
                <w:color w:val="FFFFFF"/>
                <w:sz w:val="20"/>
                <w:szCs w:val="20"/>
              </w:rPr>
              <w:t xml:space="preserve">Technology</w:t>
            </w:r>
          </w:p>
        </w:tc>
      </w:tr>
      <w:tr>
        <w:tc>
          <w:tcPr>
            <w:tcW w:type="dxa" w:w="3000"/>
            <w:vAlign w:val="center"/>
          </w:tcPr>
          <w:p>
            <w:r>
              <w:rPr>
                <w:b w:val="false"/>
                <w:bCs w:val="false"/>
                <w:color w:val="000000"/>
                <w:sz w:val="20"/>
                <w:szCs w:val="20"/>
              </w:rPr>
              <w:t xml:space="preserve">Languages</w:t>
            </w:r>
          </w:p>
        </w:tc>
        <w:tc>
          <w:tcPr>
            <w:tcW w:type="dxa" w:w="7000"/>
            <w:vAlign w:val="center"/>
          </w:tcPr>
          <w:p>
            <w:r>
              <w:rPr>
                <w:b w:val="false"/>
                <w:bCs w:val="false"/>
                <w:color w:val="000000"/>
                <w:sz w:val="20"/>
                <w:szCs w:val="20"/>
              </w:rPr>
              <w:t xml:space="preserve">Python (core); optionally Go/Rust for a low-latency gateway</w:t>
            </w:r>
          </w:p>
        </w:tc>
      </w:tr>
      <w:tr>
        <w:tc>
          <w:tcPr>
            <w:tcW w:type="dxa" w:w="3000"/>
            <w:vAlign w:val="center"/>
          </w:tcPr>
          <w:p>
            <w:r>
              <w:rPr>
                <w:b w:val="false"/>
                <w:bCs w:val="false"/>
                <w:color w:val="000000"/>
                <w:sz w:val="20"/>
                <w:szCs w:val="20"/>
              </w:rPr>
              <w:t xml:space="preserve">ML / DL</w:t>
            </w:r>
          </w:p>
        </w:tc>
        <w:tc>
          <w:tcPr>
            <w:tcW w:type="dxa" w:w="7000"/>
            <w:vAlign w:val="center"/>
          </w:tcPr>
          <w:p>
            <w:r>
              <w:rPr>
                <w:b w:val="false"/>
                <w:bCs w:val="false"/>
                <w:color w:val="000000"/>
                <w:sz w:val="20"/>
                <w:szCs w:val="20"/>
              </w:rPr>
              <w:t xml:space="preserve">PyTorch, PyTorch Geometric (GNN), scikit-learn / LightGBM (surrogate), Stable-Baselines3 / RLlib (PPO)</w:t>
            </w:r>
          </w:p>
        </w:tc>
      </w:tr>
      <w:tr>
        <w:tc>
          <w:tcPr>
            <w:tcW w:type="dxa" w:w="3000"/>
            <w:vAlign w:val="center"/>
          </w:tcPr>
          <w:p>
            <w:r>
              <w:rPr>
                <w:b w:val="false"/>
                <w:bCs w:val="false"/>
                <w:color w:val="000000"/>
                <w:sz w:val="20"/>
                <w:szCs w:val="20"/>
              </w:rPr>
              <w:t xml:space="preserve">Causal discovery</w:t>
            </w:r>
          </w:p>
        </w:tc>
        <w:tc>
          <w:tcPr>
            <w:tcW w:type="dxa" w:w="7000"/>
            <w:vAlign w:val="center"/>
          </w:tcPr>
          <w:p>
            <w:r>
              <w:rPr>
                <w:b w:val="false"/>
                <w:bCs w:val="false"/>
                <w:color w:val="000000"/>
                <w:sz w:val="20"/>
                <w:szCs w:val="20"/>
              </w:rPr>
              <w:t xml:space="preserve">causal-learn, gcastle, or a custom NOTEARS implementation</w:t>
            </w:r>
          </w:p>
        </w:tc>
      </w:tr>
      <w:tr>
        <w:tc>
          <w:tcPr>
            <w:tcW w:type="dxa" w:w="3000"/>
            <w:vAlign w:val="center"/>
          </w:tcPr>
          <w:p>
            <w:r>
              <w:rPr>
                <w:b w:val="false"/>
                <w:bCs w:val="false"/>
                <w:color w:val="000000"/>
                <w:sz w:val="20"/>
                <w:szCs w:val="20"/>
              </w:rPr>
              <w:t xml:space="preserve">Streaming / orchestration</w:t>
            </w:r>
          </w:p>
        </w:tc>
        <w:tc>
          <w:tcPr>
            <w:tcW w:type="dxa" w:w="7000"/>
            <w:vAlign w:val="center"/>
          </w:tcPr>
          <w:p>
            <w:r>
              <w:rPr>
                <w:b w:val="false"/>
                <w:bCs w:val="false"/>
                <w:color w:val="000000"/>
                <w:sz w:val="20"/>
                <w:szCs w:val="20"/>
              </w:rPr>
              <w:t xml:space="preserve">Kafka or Redis Streams; Airflow / Prefect for retraining jobs</w:t>
            </w:r>
          </w:p>
        </w:tc>
      </w:tr>
      <w:tr>
        <w:tc>
          <w:tcPr>
            <w:tcW w:type="dxa" w:w="3000"/>
            <w:vAlign w:val="center"/>
          </w:tcPr>
          <w:p>
            <w:r>
              <w:rPr>
                <w:b w:val="false"/>
                <w:bCs w:val="false"/>
                <w:color w:val="000000"/>
                <w:sz w:val="20"/>
                <w:szCs w:val="20"/>
              </w:rPr>
              <w:t xml:space="preserve">Serving</w:t>
            </w:r>
          </w:p>
        </w:tc>
        <w:tc>
          <w:tcPr>
            <w:tcW w:type="dxa" w:w="7000"/>
            <w:vAlign w:val="center"/>
          </w:tcPr>
          <w:p>
            <w:r>
              <w:rPr>
                <w:b w:val="false"/>
                <w:bCs w:val="false"/>
                <w:color w:val="000000"/>
                <w:sz w:val="20"/>
                <w:szCs w:val="20"/>
              </w:rPr>
              <w:t xml:space="preserve">FastAPI / Triton Inference Server; Docker; Kubernetes (or single-node for the initial build)</w:t>
            </w:r>
          </w:p>
        </w:tc>
      </w:tr>
      <w:tr>
        <w:tc>
          <w:tcPr>
            <w:tcW w:type="dxa" w:w="3000"/>
            <w:vAlign w:val="center"/>
          </w:tcPr>
          <w:p>
            <w:r>
              <w:rPr>
                <w:b w:val="false"/>
                <w:bCs w:val="false"/>
                <w:color w:val="000000"/>
                <w:sz w:val="20"/>
                <w:szCs w:val="20"/>
              </w:rPr>
              <w:t xml:space="preserve">Storage</w:t>
            </w:r>
          </w:p>
        </w:tc>
        <w:tc>
          <w:tcPr>
            <w:tcW w:type="dxa" w:w="7000"/>
            <w:vAlign w:val="center"/>
          </w:tcPr>
          <w:p>
            <w:r>
              <w:rPr>
                <w:b w:val="false"/>
                <w:bCs w:val="false"/>
                <w:color w:val="000000"/>
                <w:sz w:val="20"/>
                <w:szCs w:val="20"/>
              </w:rPr>
              <w:t xml:space="preserve">PostgreSQL / TimescaleDB (metrics); MLflow (model registry)</w:t>
            </w:r>
          </w:p>
        </w:tc>
      </w:tr>
      <w:tr>
        <w:tc>
          <w:tcPr>
            <w:tcW w:type="dxa" w:w="3000"/>
            <w:vAlign w:val="center"/>
          </w:tcPr>
          <w:p>
            <w:r>
              <w:rPr>
                <w:b w:val="false"/>
                <w:bCs w:val="false"/>
                <w:color w:val="000000"/>
                <w:sz w:val="20"/>
                <w:szCs w:val="20"/>
              </w:rPr>
              <w:t xml:space="preserve">Carbon / cost</w:t>
            </w:r>
          </w:p>
        </w:tc>
        <w:tc>
          <w:tcPr>
            <w:tcW w:type="dxa" w:w="7000"/>
            <w:vAlign w:val="center"/>
          </w:tcPr>
          <w:p>
            <w:r>
              <w:rPr>
                <w:b w:val="false"/>
                <w:bCs w:val="false"/>
                <w:color w:val="000000"/>
                <w:sz w:val="20"/>
                <w:szCs w:val="20"/>
              </w:rPr>
              <w:t xml:space="preserve">CodeCarbon; Electricity Maps API</w:t>
            </w:r>
          </w:p>
        </w:tc>
      </w:tr>
      <w:tr>
        <w:tc>
          <w:tcPr>
            <w:tcW w:type="dxa" w:w="3000"/>
            <w:vAlign w:val="center"/>
          </w:tcPr>
          <w:p>
            <w:r>
              <w:rPr>
                <w:b w:val="false"/>
                <w:bCs w:val="false"/>
                <w:color w:val="000000"/>
                <w:sz w:val="20"/>
                <w:szCs w:val="20"/>
              </w:rPr>
              <w:t xml:space="preserve">Monitoring</w:t>
            </w:r>
          </w:p>
        </w:tc>
        <w:tc>
          <w:tcPr>
            <w:tcW w:type="dxa" w:w="7000"/>
            <w:vAlign w:val="center"/>
          </w:tcPr>
          <w:p>
            <w:r>
              <w:rPr>
                <w:b w:val="false"/>
                <w:bCs w:val="false"/>
                <w:color w:val="000000"/>
                <w:sz w:val="20"/>
                <w:szCs w:val="20"/>
              </w:rPr>
              <w:t xml:space="preserve">Grafana + Prometheus, or a custom dashboard</w:t>
            </w:r>
          </w:p>
        </w:tc>
      </w:tr>
      <w:tr>
        <w:tc>
          <w:tcPr>
            <w:tcW w:type="dxa" w:w="3000"/>
            <w:vAlign w:val="center"/>
          </w:tcPr>
          <w:p>
            <w:r>
              <w:rPr>
                <w:b w:val="false"/>
                <w:bCs w:val="false"/>
                <w:color w:val="000000"/>
                <w:sz w:val="20"/>
                <w:szCs w:val="20"/>
              </w:rPr>
              <w:t xml:space="preserve">CI/CD</w:t>
            </w:r>
          </w:p>
        </w:tc>
        <w:tc>
          <w:tcPr>
            <w:tcW w:type="dxa" w:w="7000"/>
            <w:vAlign w:val="center"/>
          </w:tcPr>
          <w:p>
            <w:r>
              <w:rPr>
                <w:b w:val="false"/>
                <w:bCs w:val="false"/>
                <w:color w:val="000000"/>
                <w:sz w:val="20"/>
                <w:szCs w:val="20"/>
              </w:rPr>
              <w:t xml:space="preserve">GitHub Actions</w:t>
            </w:r>
          </w:p>
        </w:tc>
      </w:tr>
    </w:tbl>
    <w:p>
      <w:pPr>
        <w:pStyle w:val="Heading1"/>
        <w:spacing w:after="200" w:before="400"/>
      </w:pPr>
      <w:r>
        <w:t xml:space="preserve">9. Non-Functional Considerations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2F5496" w:val="clear"/>
            <w:vAlign w:val="center"/>
          </w:tcPr>
          <w:p>
            <w:r>
              <w:rPr>
                <w:b/>
                <w:bCs/>
                <w:color w:val="FFFFFF"/>
                <w:sz w:val="20"/>
                <w:szCs w:val="20"/>
              </w:rPr>
              <w:t xml:space="preserve">Concern</w:t>
            </w:r>
          </w:p>
        </w:tc>
        <w:tc>
          <w:tcPr>
            <w:tcW w:type="dxa" w:w="7500"/>
            <w:shd w:fill="2F5496" w:val="clear"/>
            <w:vAlign w:val="center"/>
          </w:tcPr>
          <w:p>
            <w:r>
              <w:rPr>
                <w:b/>
                <w:bCs/>
                <w:color w:val="FFFFFF"/>
                <w:sz w:val="20"/>
                <w:szCs w:val="20"/>
              </w:rPr>
              <w:t xml:space="preserve">Design Response</w:t>
            </w:r>
          </w:p>
        </w:tc>
      </w:tr>
      <w:tr>
        <w:tc>
          <w:tcPr>
            <w:tcW w:type="dxa" w:w="2500"/>
            <w:vAlign w:val="center"/>
          </w:tcPr>
          <w:p>
            <w:r>
              <w:rPr>
                <w:b w:val="false"/>
                <w:bCs w:val="false"/>
                <w:color w:val="000000"/>
                <w:sz w:val="20"/>
                <w:szCs w:val="20"/>
              </w:rPr>
              <w:t xml:space="preserve">Latency</w:t>
            </w:r>
          </w:p>
        </w:tc>
        <w:tc>
          <w:tcPr>
            <w:tcW w:type="dxa" w:w="7500"/>
            <w:vAlign w:val="center"/>
          </w:tcPr>
          <w:p>
            <w:r>
              <w:rPr>
                <w:b w:val="false"/>
                <w:bCs w:val="false"/>
                <w:color w:val="000000"/>
                <w:sz w:val="20"/>
                <w:szCs w:val="20"/>
              </w:rPr>
              <w:t xml:space="preserve">Inference Gateway path stays lightweight (prediction only); all attribution/retraining logic is off the hot path, triggered only on alert</w:t>
            </w:r>
          </w:p>
        </w:tc>
      </w:tr>
      <w:tr>
        <w:tc>
          <w:tcPr>
            <w:tcW w:type="dxa" w:w="2500"/>
            <w:vAlign w:val="center"/>
          </w:tcPr>
          <w:p>
            <w:r>
              <w:rPr>
                <w:b w:val="false"/>
                <w:bCs w:val="false"/>
                <w:color w:val="000000"/>
                <w:sz w:val="20"/>
                <w:szCs w:val="20"/>
              </w:rPr>
              <w:t xml:space="preserve">Cost</w:t>
            </w:r>
          </w:p>
        </w:tc>
        <w:tc>
          <w:tcPr>
            <w:tcW w:type="dxa" w:w="7500"/>
            <w:vAlign w:val="center"/>
          </w:tcPr>
          <w:p>
            <w:r>
              <w:rPr>
                <w:b w:val="false"/>
                <w:bCs w:val="false"/>
                <w:color w:val="000000"/>
                <w:sz w:val="20"/>
                <w:szCs w:val="20"/>
              </w:rPr>
              <w:t xml:space="preserve">PPO's reward explicitly penalizes compute cost, so unnecessary full retrains are actively discouraged</w:t>
            </w:r>
          </w:p>
        </w:tc>
      </w:tr>
      <w:tr>
        <w:tc>
          <w:tcPr>
            <w:tcW w:type="dxa" w:w="2500"/>
            <w:vAlign w:val="center"/>
          </w:tcPr>
          <w:p>
            <w:r>
              <w:rPr>
                <w:b w:val="false"/>
                <w:bCs w:val="false"/>
                <w:color w:val="000000"/>
                <w:sz w:val="20"/>
                <w:szCs w:val="20"/>
              </w:rPr>
              <w:t xml:space="preserve">Carbon footprint</w:t>
            </w:r>
          </w:p>
        </w:tc>
        <w:tc>
          <w:tcPr>
            <w:tcW w:type="dxa" w:w="7500"/>
            <w:vAlign w:val="center"/>
          </w:tcPr>
          <w:p>
            <w:r>
              <w:rPr>
                <w:b w:val="false"/>
                <w:bCs w:val="false"/>
                <w:color w:val="000000"/>
                <w:sz w:val="20"/>
                <w:szCs w:val="20"/>
              </w:rPr>
              <w:t xml:space="preserve">Carbon cost is a first-class term in the PPO reward, not an afterthought metric</w:t>
            </w:r>
          </w:p>
        </w:tc>
      </w:tr>
      <w:tr>
        <w:tc>
          <w:tcPr>
            <w:tcW w:type="dxa" w:w="2500"/>
            <w:vAlign w:val="center"/>
          </w:tcPr>
          <w:p>
            <w:r>
              <w:rPr>
                <w:b w:val="false"/>
                <w:bCs w:val="false"/>
                <w:color w:val="000000"/>
                <w:sz w:val="20"/>
                <w:szCs w:val="20"/>
              </w:rPr>
              <w:t xml:space="preserve">Explainability</w:t>
            </w:r>
          </w:p>
        </w:tc>
        <w:tc>
          <w:tcPr>
            <w:tcW w:type="dxa" w:w="7500"/>
            <w:vAlign w:val="center"/>
          </w:tcPr>
          <w:p>
            <w:r>
              <w:rPr>
                <w:b w:val="false"/>
                <w:bCs w:val="false"/>
                <w:color w:val="000000"/>
                <w:sz w:val="20"/>
                <w:szCs w:val="20"/>
              </w:rPr>
              <w:t xml:space="preserve">Every retraining decision is traceable to a specific CDAG node and responsibility score, logged in the audit log</w:t>
            </w:r>
          </w:p>
        </w:tc>
      </w:tr>
      <w:tr>
        <w:tc>
          <w:tcPr>
            <w:tcW w:type="dxa" w:w="2500"/>
            <w:vAlign w:val="center"/>
          </w:tcPr>
          <w:p>
            <w:r>
              <w:rPr>
                <w:b w:val="false"/>
                <w:bCs w:val="false"/>
                <w:color w:val="000000"/>
                <w:sz w:val="20"/>
                <w:szCs w:val="20"/>
              </w:rPr>
              <w:t xml:space="preserve">Robustness</w:t>
            </w:r>
          </w:p>
        </w:tc>
        <w:tc>
          <w:tcPr>
            <w:tcW w:type="dxa" w:w="7500"/>
            <w:vAlign w:val="center"/>
          </w:tcPr>
          <w:p>
            <w:r>
              <w:rPr>
                <w:b w:val="false"/>
                <w:bCs w:val="false"/>
                <w:color w:val="000000"/>
                <w:sz w:val="20"/>
                <w:szCs w:val="20"/>
              </w:rPr>
              <w:t xml:space="preserve">Shadow/canary validation prevents a bad fix from ever reaching full production traffic</w:t>
            </w:r>
          </w:p>
        </w:tc>
      </w:tr>
      <w:tr>
        <w:tc>
          <w:tcPr>
            <w:tcW w:type="dxa" w:w="2500"/>
            <w:vAlign w:val="center"/>
          </w:tcPr>
          <w:p>
            <w:r>
              <w:rPr>
                <w:b w:val="false"/>
                <w:bCs w:val="false"/>
                <w:color w:val="000000"/>
                <w:sz w:val="20"/>
                <w:szCs w:val="20"/>
              </w:rPr>
              <w:t xml:space="preserve">Reproducibility</w:t>
            </w:r>
          </w:p>
        </w:tc>
        <w:tc>
          <w:tcPr>
            <w:tcW w:type="dxa" w:w="7500"/>
            <w:vAlign w:val="center"/>
          </w:tcPr>
          <w:p>
            <w:r>
              <w:rPr>
                <w:b w:val="false"/>
                <w:bCs w:val="false"/>
                <w:color w:val="000000"/>
                <w:sz w:val="20"/>
                <w:szCs w:val="20"/>
              </w:rPr>
              <w:t xml:space="preserve">Docker images, versioned experiment configs (MLflow), and a public synthetic-benchmark generator with fixed seeds</w:t>
            </w:r>
          </w:p>
        </w:tc>
      </w:tr>
      <w:tr>
        <w:tc>
          <w:tcPr>
            <w:tcW w:type="dxa" w:w="2500"/>
            <w:vAlign w:val="center"/>
          </w:tcPr>
          <w:p>
            <w:r>
              <w:rPr>
                <w:b w:val="false"/>
                <w:bCs w:val="false"/>
                <w:color w:val="000000"/>
                <w:sz w:val="20"/>
                <w:szCs w:val="20"/>
              </w:rPr>
              <w:t xml:space="preserve">Privacy</w:t>
            </w:r>
          </w:p>
        </w:tc>
        <w:tc>
          <w:tcPr>
            <w:tcW w:type="dxa" w:w="7500"/>
            <w:vAlign w:val="center"/>
          </w:tcPr>
          <w:p>
            <w:r>
              <w:rPr>
                <w:b w:val="false"/>
                <w:bCs w:val="false"/>
                <w:color w:val="000000"/>
                <w:sz w:val="20"/>
                <w:szCs w:val="20"/>
              </w:rPr>
              <w:t xml:space="preserve">Activation sampling is privacy-filtered before leaving the Collector; no raw PII enters the CDAG</w:t>
            </w:r>
          </w:p>
        </w:tc>
      </w:tr>
    </w:tbl>
    <w:p>
      <w:pPr>
        <w:pStyle w:val="Heading1"/>
        <w:spacing w:after="200" w:before="400"/>
      </w:pPr>
      <w:r>
        <w:t xml:space="preserve">10. Open Design Decisions</w:t>
      </w:r>
    </w:p>
    <w:p>
      <w:pPr>
        <w:spacing w:after="150"/>
      </w:pPr>
      <w:r>
        <w:t xml:space="preserve">These are the parts of the architecture that are intentionally not yet finalized. Each has a recommended default to unblock a first working build, but should be revisited or ablated once the pipeline runs end-to-end.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2F5496" w:val="clear"/>
            <w:vAlign w:val="center"/>
          </w:tcPr>
          <w:p>
            <w:r>
              <w:rPr>
                <w:b/>
                <w:bCs/>
                <w:color w:val="FFFFFF"/>
                <w:sz w:val="20"/>
                <w:szCs w:val="20"/>
              </w:rPr>
              <w:t xml:space="preserve">Open Decision</w:t>
            </w:r>
          </w:p>
        </w:tc>
        <w:tc>
          <w:tcPr>
            <w:tcW w:type="dxa" w:w="5800"/>
            <w:shd w:fill="2F5496" w:val="clear"/>
            <w:vAlign w:val="center"/>
          </w:tcPr>
          <w:p>
            <w:r>
              <w:rPr>
                <w:b/>
                <w:bCs/>
                <w:color w:val="FFFFFF"/>
                <w:sz w:val="20"/>
                <w:szCs w:val="20"/>
              </w:rPr>
              <w:t xml:space="preserve">Recommended Default</w:t>
            </w:r>
          </w:p>
        </w:tc>
      </w:tr>
      <w:tr>
        <w:tc>
          <w:tcPr>
            <w:tcW w:type="dxa" w:w="4200"/>
            <w:vAlign w:val="center"/>
          </w:tcPr>
          <w:p>
            <w:r>
              <w:rPr>
                <w:b w:val="false"/>
                <w:bCs w:val="false"/>
                <w:color w:val="000000"/>
                <w:sz w:val="20"/>
                <w:szCs w:val="20"/>
              </w:rPr>
              <w:t xml:space="preserve">Activation-to-node clustering method</w:t>
            </w:r>
          </w:p>
        </w:tc>
        <w:tc>
          <w:tcPr>
            <w:tcW w:type="dxa" w:w="5800"/>
            <w:vAlign w:val="center"/>
          </w:tcPr>
          <w:p>
            <w:r>
              <w:rPr>
                <w:b w:val="false"/>
                <w:bCs w:val="false"/>
                <w:color w:val="000000"/>
                <w:sz w:val="20"/>
                <w:szCs w:val="20"/>
              </w:rPr>
              <w:t xml:space="preserve">K-means per layer, cluster count chosen via elbow method</w:t>
            </w:r>
          </w:p>
        </w:tc>
      </w:tr>
      <w:tr>
        <w:tc>
          <w:tcPr>
            <w:tcW w:type="dxa" w:w="4200"/>
            <w:vAlign w:val="center"/>
          </w:tcPr>
          <w:p>
            <w:r>
              <w:rPr>
                <w:b w:val="false"/>
                <w:bCs w:val="false"/>
                <w:color w:val="000000"/>
                <w:sz w:val="20"/>
                <w:szCs w:val="20"/>
              </w:rPr>
              <w:t xml:space="preserve">GNN + Surrogate training regime</w:t>
            </w:r>
          </w:p>
        </w:tc>
        <w:tc>
          <w:tcPr>
            <w:tcW w:type="dxa" w:w="5800"/>
            <w:vAlign w:val="center"/>
          </w:tcPr>
          <w:p>
            <w:r>
              <w:rPr>
                <w:b w:val="false"/>
                <w:bCs w:val="false"/>
                <w:color w:val="000000"/>
                <w:sz w:val="20"/>
                <w:szCs w:val="20"/>
              </w:rPr>
              <w:t xml:space="preserve">Train jointly, end-to-end, as one pipeline</w:t>
            </w:r>
          </w:p>
        </w:tc>
      </w:tr>
      <w:tr>
        <w:tc>
          <w:tcPr>
            <w:tcW w:type="dxa" w:w="4200"/>
            <w:vAlign w:val="center"/>
          </w:tcPr>
          <w:p>
            <w:r>
              <w:rPr>
                <w:b w:val="false"/>
                <w:bCs w:val="false"/>
                <w:color w:val="000000"/>
                <w:sz w:val="20"/>
                <w:szCs w:val="20"/>
              </w:rPr>
              <w:t xml:space="preserve">PPO reward weights (compute / carbon / SLA)</w:t>
            </w:r>
          </w:p>
        </w:tc>
        <w:tc>
          <w:tcPr>
            <w:tcW w:type="dxa" w:w="5800"/>
            <w:vAlign w:val="center"/>
          </w:tcPr>
          <w:p>
            <w:r>
              <w:rPr>
                <w:b w:val="false"/>
                <w:bCs w:val="false"/>
                <w:color w:val="000000"/>
                <w:sz w:val="20"/>
                <w:szCs w:val="20"/>
              </w:rPr>
              <w:t xml:space="preserve">Start with fixed weights, tune empirically against sandbox behavior</w:t>
            </w:r>
          </w:p>
        </w:tc>
      </w:tr>
      <w:tr>
        <w:tc>
          <w:tcPr>
            <w:tcW w:type="dxa" w:w="4200"/>
            <w:vAlign w:val="center"/>
          </w:tcPr>
          <w:p>
            <w:r>
              <w:rPr>
                <w:b w:val="false"/>
                <w:bCs w:val="false"/>
                <w:color w:val="000000"/>
                <w:sz w:val="20"/>
                <w:szCs w:val="20"/>
              </w:rPr>
              <w:t xml:space="preserve">CADENCE's own drift-trigger mechanism</w:t>
            </w:r>
          </w:p>
        </w:tc>
        <w:tc>
          <w:tcPr>
            <w:tcW w:type="dxa" w:w="5800"/>
            <w:vAlign w:val="center"/>
          </w:tcPr>
          <w:p>
            <w:r>
              <w:rPr>
                <w:b w:val="false"/>
                <w:bCs w:val="false"/>
                <w:color w:val="000000"/>
                <w:sz w:val="20"/>
                <w:szCs w:val="20"/>
              </w:rPr>
              <w:t xml:space="preserve">PSI + delayed-label F1 check (also used as the baseline to beat)</w:t>
            </w:r>
          </w:p>
        </w:tc>
      </w:tr>
      <w:tr>
        <w:tc>
          <w:tcPr>
            <w:tcW w:type="dxa" w:w="4200"/>
            <w:vAlign w:val="center"/>
          </w:tcPr>
          <w:p>
            <w:r>
              <w:rPr>
                <w:b w:val="false"/>
                <w:bCs w:val="false"/>
                <w:color w:val="000000"/>
                <w:sz w:val="20"/>
                <w:szCs w:val="20"/>
              </w:rPr>
              <w:t xml:space="preserve">Shadow/canary promotion threshold</w:t>
            </w:r>
          </w:p>
        </w:tc>
        <w:tc>
          <w:tcPr>
            <w:tcW w:type="dxa" w:w="5800"/>
            <w:vAlign w:val="center"/>
          </w:tcPr>
          <w:p>
            <w:r>
              <w:rPr>
                <w:b w:val="false"/>
                <w:bCs w:val="false"/>
                <w:color w:val="000000"/>
                <w:sz w:val="20"/>
                <w:szCs w:val="20"/>
              </w:rPr>
              <w:t xml:space="preserve">Promote if validation-window F1 is greater than or equal to the SLA target</w:t>
            </w:r>
          </w:p>
        </w:tc>
      </w:tr>
      <w:tr>
        <w:tc>
          <w:tcPr>
            <w:tcW w:type="dxa" w:w="4200"/>
            <w:vAlign w:val="center"/>
          </w:tcPr>
          <w:p>
            <w:r>
              <w:rPr>
                <w:b w:val="false"/>
                <w:bCs w:val="false"/>
                <w:color w:val="000000"/>
                <w:sz w:val="20"/>
                <w:szCs w:val="20"/>
              </w:rPr>
              <w:t xml:space="preserve">Multi-node / multi-layer responsibility handling</w:t>
            </w:r>
          </w:p>
        </w:tc>
        <w:tc>
          <w:tcPr>
            <w:tcW w:type="dxa" w:w="5800"/>
            <w:vAlign w:val="center"/>
          </w:tcPr>
          <w:p>
            <w:r>
              <w:rPr>
                <w:b w:val="false"/>
                <w:bCs w:val="false"/>
                <w:color w:val="000000"/>
                <w:sz w:val="20"/>
                <w:szCs w:val="20"/>
              </w:rPr>
              <w:t xml:space="preserve">Unfreeze every node/layer whose score exceeds a threshold tau; treat very diffuse responsibility as a signal favoring full retrain</w:t>
            </w:r>
          </w:p>
        </w:tc>
      </w:tr>
      <w:tr>
        <w:tc>
          <w:tcPr>
            <w:tcW w:type="dxa" w:w="4200"/>
            <w:vAlign w:val="center"/>
          </w:tcPr>
          <w:p>
            <w:r>
              <w:rPr>
                <w:b w:val="false"/>
                <w:bCs w:val="false"/>
                <w:color w:val="000000"/>
                <w:sz w:val="20"/>
                <w:szCs w:val="20"/>
              </w:rPr>
              <w:t xml:space="preserve">Cross-adapter score calibration</w:t>
            </w:r>
          </w:p>
        </w:tc>
        <w:tc>
          <w:tcPr>
            <w:tcW w:type="dxa" w:w="5800"/>
            <w:vAlign w:val="center"/>
          </w:tcPr>
          <w:p>
            <w:r>
              <w:rPr>
                <w:b w:val="false"/>
                <w:bCs w:val="false"/>
                <w:color w:val="000000"/>
                <w:sz w:val="20"/>
                <w:szCs w:val="20"/>
              </w:rPr>
              <w:t xml:space="preserve">Not yet designed; required before claiming one unified dashboard across model types</w:t>
            </w:r>
          </w:p>
        </w:tc>
      </w:tr>
      <w:tr>
        <w:tc>
          <w:tcPr>
            <w:tcW w:type="dxa" w:w="4200"/>
            <w:vAlign w:val="center"/>
          </w:tcPr>
          <w:p>
            <w:r>
              <w:rPr>
                <w:b w:val="false"/>
                <w:bCs w:val="false"/>
                <w:color w:val="000000"/>
                <w:sz w:val="20"/>
                <w:szCs w:val="20"/>
              </w:rPr>
              <w:t xml:space="preserve">Rolling window sizes for all statistics</w:t>
            </w:r>
          </w:p>
        </w:tc>
        <w:tc>
          <w:tcPr>
            <w:tcW w:type="dxa" w:w="5800"/>
            <w:vAlign w:val="center"/>
          </w:tcPr>
          <w:p>
            <w:r>
              <w:rPr>
                <w:b w:val="false"/>
                <w:bCs w:val="false"/>
                <w:color w:val="000000"/>
                <w:sz w:val="20"/>
                <w:szCs w:val="20"/>
              </w:rPr>
              <w:t xml:space="preserve">To be tuned empirically per dataset during development</w:t>
            </w:r>
          </w:p>
        </w:tc>
      </w:tr>
    </w:tbl>
    <w:p>
      <w:pPr>
        <w:pStyle w:val="Heading1"/>
        <w:spacing w:after="200" w:before="400"/>
      </w:pPr>
      <w:r>
        <w:t xml:space="preserve">Appendix A: Glossary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2F5496" w:val="clear"/>
            <w:vAlign w:val="center"/>
          </w:tcPr>
          <w:p>
            <w:r>
              <w:rPr>
                <w:b/>
                <w:bCs/>
                <w:color w:val="FFFFFF"/>
                <w:sz w:val="20"/>
                <w:szCs w:val="20"/>
              </w:rPr>
              <w:t xml:space="preserve">Term</w:t>
            </w:r>
          </w:p>
        </w:tc>
        <w:tc>
          <w:tcPr>
            <w:tcW w:type="dxa" w:w="7500"/>
            <w:shd w:fill="2F5496" w:val="clear"/>
            <w:vAlign w:val="center"/>
          </w:tcPr>
          <w:p>
            <w:r>
              <w:rPr>
                <w:b/>
                <w:bCs/>
                <w:color w:val="FFFFFF"/>
                <w:sz w:val="20"/>
                <w:szCs w:val="20"/>
              </w:rPr>
              <w:t xml:space="preserve">Meaning</w:t>
            </w:r>
          </w:p>
        </w:tc>
      </w:tr>
      <w:tr>
        <w:tc>
          <w:tcPr>
            <w:tcW w:type="dxa" w:w="2500"/>
            <w:vAlign w:val="center"/>
          </w:tcPr>
          <w:p>
            <w:r>
              <w:rPr>
                <w:b w:val="false"/>
                <w:bCs w:val="false"/>
                <w:color w:val="000000"/>
                <w:sz w:val="20"/>
                <w:szCs w:val="20"/>
              </w:rPr>
              <w:t xml:space="preserve">CDAG</w:t>
            </w:r>
          </w:p>
        </w:tc>
        <w:tc>
          <w:tcPr>
            <w:tcW w:type="dxa" w:w="7500"/>
            <w:vAlign w:val="center"/>
          </w:tcPr>
          <w:p>
            <w:r>
              <w:rPr>
                <w:b w:val="false"/>
                <w:bCs w:val="false"/>
                <w:color w:val="000000"/>
                <w:sz w:val="20"/>
                <w:szCs w:val="20"/>
              </w:rPr>
              <w:t xml:space="preserve">Causal Drift Attribution Graph — the core causal graph structure in CADENCE</w:t>
            </w:r>
          </w:p>
        </w:tc>
      </w:tr>
      <w:tr>
        <w:tc>
          <w:tcPr>
            <w:tcW w:type="dxa" w:w="2500"/>
            <w:vAlign w:val="center"/>
          </w:tcPr>
          <w:p>
            <w:r>
              <w:rPr>
                <w:b w:val="false"/>
                <w:bCs w:val="false"/>
                <w:color w:val="000000"/>
                <w:sz w:val="20"/>
                <w:szCs w:val="20"/>
              </w:rPr>
              <w:t xml:space="preserve">Responsibility score</w:t>
            </w:r>
          </w:p>
        </w:tc>
        <w:tc>
          <w:tcPr>
            <w:tcW w:type="dxa" w:w="7500"/>
            <w:vAlign w:val="center"/>
          </w:tcPr>
          <w:p>
            <w:r>
              <w:rPr>
                <w:b w:val="false"/>
                <w:bCs w:val="false"/>
                <w:color w:val="000000"/>
                <w:sz w:val="20"/>
                <w:szCs w:val="20"/>
              </w:rPr>
              <w:t xml:space="preserve">Predicted performance recovery if a given node's cause were fixed, minus current performance</w:t>
            </w:r>
          </w:p>
        </w:tc>
      </w:tr>
      <w:tr>
        <w:tc>
          <w:tcPr>
            <w:tcW w:type="dxa" w:w="2500"/>
            <w:vAlign w:val="center"/>
          </w:tcPr>
          <w:p>
            <w:r>
              <w:rPr>
                <w:b w:val="false"/>
                <w:bCs w:val="false"/>
                <w:color w:val="000000"/>
                <w:sz w:val="20"/>
                <w:szCs w:val="20"/>
              </w:rPr>
              <w:t xml:space="preserve">EWC</w:t>
            </w:r>
          </w:p>
        </w:tc>
        <w:tc>
          <w:tcPr>
            <w:tcW w:type="dxa" w:w="7500"/>
            <w:vAlign w:val="center"/>
          </w:tcPr>
          <w:p>
            <w:r>
              <w:rPr>
                <w:b w:val="false"/>
                <w:bCs w:val="false"/>
                <w:color w:val="000000"/>
                <w:sz w:val="20"/>
                <w:szCs w:val="20"/>
              </w:rPr>
              <w:t xml:space="preserve">Elastic Weight Consolidation — a regularization technique that protects important parameters during partial retraining</w:t>
            </w:r>
          </w:p>
        </w:tc>
      </w:tr>
      <w:tr>
        <w:tc>
          <w:tcPr>
            <w:tcW w:type="dxa" w:w="2500"/>
            <w:vAlign w:val="center"/>
          </w:tcPr>
          <w:p>
            <w:r>
              <w:rPr>
                <w:b w:val="false"/>
                <w:bCs w:val="false"/>
                <w:color w:val="000000"/>
                <w:sz w:val="20"/>
                <w:szCs w:val="20"/>
              </w:rPr>
              <w:t xml:space="preserve">PPO</w:t>
            </w:r>
          </w:p>
        </w:tc>
        <w:tc>
          <w:tcPr>
            <w:tcW w:type="dxa" w:w="7500"/>
            <w:vAlign w:val="center"/>
          </w:tcPr>
          <w:p>
            <w:r>
              <w:rPr>
                <w:b w:val="false"/>
                <w:bCs w:val="false"/>
                <w:color w:val="000000"/>
                <w:sz w:val="20"/>
                <w:szCs w:val="20"/>
              </w:rPr>
              <w:t xml:space="preserve">Proximal Policy Optimization — the reinforcement learning algorithm used for the Retraining Scope Optimizer</w:t>
            </w:r>
          </w:p>
        </w:tc>
      </w:tr>
      <w:tr>
        <w:tc>
          <w:tcPr>
            <w:tcW w:type="dxa" w:w="2500"/>
            <w:vAlign w:val="center"/>
          </w:tcPr>
          <w:p>
            <w:r>
              <w:rPr>
                <w:b w:val="false"/>
                <w:bCs w:val="false"/>
                <w:color w:val="000000"/>
                <w:sz w:val="20"/>
                <w:szCs w:val="20"/>
              </w:rPr>
              <w:t xml:space="preserve">PSI</w:t>
            </w:r>
          </w:p>
        </w:tc>
        <w:tc>
          <w:tcPr>
            <w:tcW w:type="dxa" w:w="7500"/>
            <w:vAlign w:val="center"/>
          </w:tcPr>
          <w:p>
            <w:r>
              <w:rPr>
                <w:b w:val="false"/>
                <w:bCs w:val="false"/>
                <w:color w:val="000000"/>
                <w:sz w:val="20"/>
                <w:szCs w:val="20"/>
              </w:rPr>
              <w:t xml:space="preserve">Population Stability Index — a statistical test for distribution shift</w:t>
            </w:r>
          </w:p>
        </w:tc>
      </w:tr>
      <w:tr>
        <w:tc>
          <w:tcPr>
            <w:tcW w:type="dxa" w:w="2500"/>
            <w:vAlign w:val="center"/>
          </w:tcPr>
          <w:p>
            <w:r>
              <w:rPr>
                <w:b w:val="false"/>
                <w:bCs w:val="false"/>
                <w:color w:val="000000"/>
                <w:sz w:val="20"/>
                <w:szCs w:val="20"/>
              </w:rPr>
              <w:t xml:space="preserve">Shadow mode</w:t>
            </w:r>
          </w:p>
        </w:tc>
        <w:tc>
          <w:tcPr>
            <w:tcW w:type="dxa" w:w="7500"/>
            <w:vAlign w:val="center"/>
          </w:tcPr>
          <w:p>
            <w:r>
              <w:rPr>
                <w:b w:val="false"/>
                <w:bCs w:val="false"/>
                <w:color w:val="000000"/>
                <w:sz w:val="20"/>
                <w:szCs w:val="20"/>
              </w:rPr>
              <w:t xml:space="preserve">Running a candidate model alongside production without using its predictions for real decisions, purely to validate it</w:t>
            </w:r>
          </w:p>
        </w:tc>
      </w:tr>
      <w:tr>
        <w:tc>
          <w:tcPr>
            <w:tcW w:type="dxa" w:w="2500"/>
            <w:vAlign w:val="center"/>
          </w:tcPr>
          <w:p>
            <w:r>
              <w:rPr>
                <w:b w:val="false"/>
                <w:bCs w:val="false"/>
                <w:color w:val="000000"/>
                <w:sz w:val="20"/>
                <w:szCs w:val="20"/>
              </w:rPr>
              <w:t xml:space="preserve">Canary rollout</w:t>
            </w:r>
          </w:p>
        </w:tc>
        <w:tc>
          <w:tcPr>
            <w:tcW w:type="dxa" w:w="7500"/>
            <w:vAlign w:val="center"/>
          </w:tcPr>
          <w:p>
            <w:r>
              <w:rPr>
                <w:b w:val="false"/>
                <w:bCs w:val="false"/>
                <w:color w:val="000000"/>
                <w:sz w:val="20"/>
                <w:szCs w:val="20"/>
              </w:rPr>
              <w:t xml:space="preserve">Gradually shifting real traffic to a new model, starting with a small percentage</w:t>
            </w:r>
          </w:p>
        </w:tc>
      </w:tr>
    </w:tbl>
    <w:p>
      <w:pPr>
        <w:pStyle w:val="Heading1"/>
        <w:spacing w:after="200" w:before="400"/>
      </w:pPr>
      <w:r>
        <w:t xml:space="preserve">Appendix B: Revision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500"/>
      </w:tblGrid>
      <w:tr>
        <w:trPr>
          <w:tblHeader/>
        </w:trPr>
        <w:tc>
          <w:tcPr>
            <w:tcW w:type="dxa" w:w="1500"/>
            <w:shd w:fill="2F5496" w:val="clear"/>
            <w:vAlign w:val="center"/>
          </w:tcPr>
          <w:p>
            <w:r>
              <w:rPr>
                <w:b/>
                <w:bCs/>
                <w:color w:val="FFFFFF"/>
                <w:sz w:val="20"/>
                <w:szCs w:val="20"/>
              </w:rPr>
              <w:t xml:space="preserve">Version</w:t>
            </w:r>
          </w:p>
        </w:tc>
        <w:tc>
          <w:tcPr>
            <w:tcW w:type="dxa" w:w="2000"/>
            <w:shd w:fill="2F5496" w:val="clear"/>
            <w:vAlign w:val="center"/>
          </w:tcPr>
          <w:p>
            <w:r>
              <w:rPr>
                <w:b/>
                <w:bCs/>
                <w:color w:val="FFFFFF"/>
                <w:sz w:val="20"/>
                <w:szCs w:val="20"/>
              </w:rPr>
              <w:t xml:space="preserve">Date</w:t>
            </w:r>
          </w:p>
        </w:tc>
        <w:tc>
          <w:tcPr>
            <w:tcW w:type="dxa" w:w="6500"/>
            <w:shd w:fill="2F5496" w:val="clear"/>
            <w:vAlign w:val="center"/>
          </w:tcPr>
          <w:p>
            <w:r>
              <w:rPr>
                <w:b/>
                <w:bCs/>
                <w:color w:val="FFFFFF"/>
                <w:sz w:val="20"/>
                <w:szCs w:val="20"/>
              </w:rPr>
              <w:t xml:space="preserve">Change</w:t>
            </w:r>
          </w:p>
        </w:tc>
      </w:tr>
      <w:tr>
        <w:tc>
          <w:tcPr>
            <w:tcW w:type="dxa" w:w="1500"/>
            <w:vAlign w:val="center"/>
          </w:tcPr>
          <w:p>
            <w:r>
              <w:rPr>
                <w:b w:val="false"/>
                <w:bCs w:val="false"/>
                <w:color w:val="000000"/>
                <w:sz w:val="20"/>
                <w:szCs w:val="20"/>
              </w:rPr>
              <w:t xml:space="preserve">1.0</w:t>
            </w:r>
          </w:p>
        </w:tc>
        <w:tc>
          <w:tcPr>
            <w:tcW w:type="dxa" w:w="2000"/>
            <w:vAlign w:val="center"/>
          </w:tcPr>
          <w:p>
            <w:r>
              <w:rPr>
                <w:b w:val="false"/>
                <w:bCs w:val="false"/>
                <w:color w:val="000000"/>
                <w:sz w:val="20"/>
                <w:szCs w:val="20"/>
              </w:rPr>
              <w:t xml:space="preserve">Draft</w:t>
            </w:r>
          </w:p>
        </w:tc>
        <w:tc>
          <w:tcPr>
            <w:tcW w:type="dxa" w:w="6500"/>
            <w:vAlign w:val="center"/>
          </w:tcPr>
          <w:p>
            <w:r>
              <w:rPr>
                <w:b w:val="false"/>
                <w:bCs w:val="false"/>
                <w:color w:val="000000"/>
                <w:sz w:val="20"/>
                <w:szCs w:val="20"/>
              </w:rPr>
              <w:t xml:space="preserve">Initial architecture document, consolidated from the CADENCE project proposal and design discussions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CADENCE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2026-08-26T08:46:08.375Z</dcterms:created>
  <dcterms:modified xsi:type="dcterms:W3CDTF">2026-08-26T08:46:08.375Z</dcterms:modified>
</cp:coreProperties>
</file>

<file path=docProps/custom.xml><?xml version="1.0" encoding="utf-8"?>
<Properties xmlns="http://schemas.openxmlformats.org/officeDocument/2006/custom-properties" xmlns:vt="http://schemas.openxmlformats.org/officeDocument/2006/docPropsVTypes"/>
</file>