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VERSION CONTROL TOOLS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Super fast and efficient.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Easily maintainable and robust.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Cross platform support.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Code changes can be very easily and clearly tracked.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It’s an open source tool.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Complex and bigger history log becomes difficult to understand.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2. CVS: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Very old, well known and understood tool.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Client-server repository model.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Excellent cross platform support.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Robust.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Poor support for distributed source control.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Doesn’t support atomic check-outs and commits.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3. SVN: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Supports atomic commits.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Easy to set up and administer.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Have better support to windows than git.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Supports empty directories.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Doesn’t store modification time  of the files.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Doesn’t deal with the normalization of the file names.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4. Mercurial: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It is a distributed revision control tool.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High performance and scalability.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Easy to learn.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Fast and powerful.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Fully distributed collaborative development.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Decentralized.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Conceptually simple.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All the add-ons must be written in python.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Partial check-outs not allowed.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5. Monotone: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Written in c++,is an distributed revision control tool.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Provides good support for internationalization and localisation.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Focuses on integrity over performance.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Can import CVS files.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Requires very low maintenance.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Easy to learn.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Portable design.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Good documentation.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Stable GUI.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Can’t commit or checkout from behind the proxy(due to a non-HTTP protocol).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6. Bazaar: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Provides cross platform support.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It has commands similar to CVS and SVN.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It allows you to be working with or without central server.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Directories tracking is supported well in Bazaar (this feature is not there in tools                        like git and mercurial).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It’s plugin system is fairly easy to use.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High storage efficiency and speed.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Doesn’t provide timestamp conservation.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Doesn’t support partial checkout/clone.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