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color w:val="073152"/>
          <w:sz w:val="50"/>
        </w:rPr>
        <w:t>LALITH ALPURI</w:t>
      </w:r>
    </w:p>
    <w:p>
      <w:pPr>
        <w:spacing w:after="60"/>
        <w:jc w:val="center"/>
      </w:pPr>
      <w:r>
        <w:rPr>
          <w:b/>
          <w:color w:val="0B91B4"/>
          <w:sz w:val="20"/>
        </w:rPr>
        <w:t>AI INFRASTRUCTURE ENGINEER  ·  MCP SERVERS  ·  LOCAL AGENT MEMORY</w:t>
      </w:r>
    </w:p>
    <w:p>
      <w:pPr>
        <w:spacing w:after="140"/>
        <w:jc w:val="center"/>
      </w:pPr>
      <w:r>
        <w:rPr>
          <w:sz w:val="17"/>
        </w:rPr>
        <w:t>Nashik, Maharashtra, India  |  lalithalpuri.worK@gmail.com  |  +91 63038 38238  |  github.com/lalithbuilds  |  linkedin.com/in/lalith-alpuri</w:t>
      </w:r>
    </w:p>
    <w:p>
      <w:pPr>
        <w:pStyle w:val="Heading1"/>
        <w:spacing w:before="140" w:after="40"/>
      </w:pPr>
      <w:r>
        <w:t>PROFILE</w:t>
      </w:r>
    </w:p>
    <w:p>
      <w:pPr>
        <w:spacing w:after="60"/>
      </w:pPr>
      <w:r>
        <w:t>AI infrastructure engineer and applied AI strategist building local-first systems for coding agents and decision support. I work across Python, Java, MCP servers, SQLite memory, hybrid retrieval, multi-agent simulation, market intelligence, predictive analysis, and full-stack delivery. My public work includes EpisodAI, Episoda Core MCP, ALPURIS OS, and a personal Sentinel / UWOF local AI lab.</w:t>
      </w:r>
    </w:p>
    <w:p>
      <w:pPr>
        <w:pStyle w:val="Heading1"/>
        <w:spacing w:before="140" w:after="40"/>
      </w:pPr>
      <w:r>
        <w:t>TECHNICAL STRENGTHS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32"/>
        <w:gridCol w:w="8568"/>
      </w:tblGrid>
      <w:tr>
        <w:tc>
          <w:tcPr>
            <w:tcW w:type="dxa" w:w="2232"/>
            <w:shd w:fill="EAF6FA"/>
          </w:tcPr>
          <w:p>
            <w:pPr>
              <w:spacing w:after="30" w:before="30"/>
            </w:pPr>
            <w:r>
              <w:rPr>
                <w:b/>
                <w:color w:val="073152"/>
              </w:rPr>
              <w:t>AI systems</w:t>
            </w:r>
          </w:p>
        </w:tc>
        <w:tc>
          <w:tcPr>
            <w:tcW w:type="dxa" w:w="8568"/>
          </w:tcPr>
          <w:p>
            <w:pPr>
              <w:spacing w:after="30" w:before="30"/>
            </w:pPr>
            <w:r>
              <w:t>MCP servers, AI agents, multi-agent orchestration, local LLM workflows, RAG, hybrid retrieval, knowledge graphs, context engineering</w:t>
            </w:r>
          </w:p>
        </w:tc>
      </w:tr>
      <w:tr>
        <w:tc>
          <w:tcPr>
            <w:tcW w:type="dxa" w:w="2232"/>
            <w:shd w:fill="EAF6FA"/>
          </w:tcPr>
          <w:p>
            <w:pPr>
              <w:spacing w:after="30" w:before="30"/>
            </w:pPr>
            <w:r>
              <w:rPr>
                <w:b/>
                <w:color w:val="073152"/>
              </w:rPr>
              <w:t>Languages</w:t>
            </w:r>
          </w:p>
        </w:tc>
        <w:tc>
          <w:tcPr>
            <w:tcW w:type="dxa" w:w="8568"/>
          </w:tcPr>
          <w:p>
            <w:pPr>
              <w:spacing w:after="30" w:before="30"/>
            </w:pPr>
            <w:r>
              <w:t>Python, Java, JavaScript/ES6+, SQL, Bash, R</w:t>
            </w:r>
          </w:p>
        </w:tc>
      </w:tr>
      <w:tr>
        <w:tc>
          <w:tcPr>
            <w:tcW w:type="dxa" w:w="2232"/>
            <w:shd w:fill="EAF6FA"/>
          </w:tcPr>
          <w:p>
            <w:pPr>
              <w:spacing w:after="30" w:before="30"/>
            </w:pPr>
            <w:r>
              <w:rPr>
                <w:b/>
                <w:color w:val="073152"/>
              </w:rPr>
              <w:t>Backend</w:t>
            </w:r>
          </w:p>
        </w:tc>
        <w:tc>
          <w:tcPr>
            <w:tcW w:type="dxa" w:w="8568"/>
          </w:tcPr>
          <w:p>
            <w:pPr>
              <w:spacing w:after="30" w:before="30"/>
            </w:pPr>
            <w:r>
              <w:t>Spring Boot, Spring, JPA/Hibernate, REST APIs, Node.js, SQLite/FTS5, MySQL, MongoDB</w:t>
            </w:r>
          </w:p>
        </w:tc>
      </w:tr>
      <w:tr>
        <w:tc>
          <w:tcPr>
            <w:tcW w:type="dxa" w:w="2232"/>
            <w:shd w:fill="EAF6FA"/>
          </w:tcPr>
          <w:p>
            <w:pPr>
              <w:spacing w:after="30" w:before="30"/>
            </w:pPr>
            <w:r>
              <w:rPr>
                <w:b/>
                <w:color w:val="073152"/>
              </w:rPr>
              <w:t>Frontend</w:t>
            </w:r>
          </w:p>
        </w:tc>
        <w:tc>
          <w:tcPr>
            <w:tcW w:type="dxa" w:w="8568"/>
          </w:tcPr>
          <w:p>
            <w:pPr>
              <w:spacing w:after="30" w:before="30"/>
            </w:pPr>
            <w:r>
              <w:t>React, Next.js, HTML, CSS, WebGL visualization</w:t>
            </w:r>
          </w:p>
        </w:tc>
      </w:tr>
      <w:tr>
        <w:tc>
          <w:tcPr>
            <w:tcW w:type="dxa" w:w="2232"/>
            <w:shd w:fill="EAF6FA"/>
          </w:tcPr>
          <w:p>
            <w:pPr>
              <w:spacing w:after="30" w:before="30"/>
            </w:pPr>
            <w:r>
              <w:rPr>
                <w:b/>
                <w:color w:val="073152"/>
              </w:rPr>
              <w:t>Delivery</w:t>
            </w:r>
          </w:p>
        </w:tc>
        <w:tc>
          <w:tcPr>
            <w:tcW w:type="dxa" w:w="8568"/>
          </w:tcPr>
          <w:p>
            <w:pPr>
              <w:spacing w:after="30" w:before="30"/>
            </w:pPr>
            <w:r>
              <w:t>Docker, Kubernetes, Git/GitHub, GitHub Actions, Postman, Selenium automation, manual QA, HLD/LLD, DSA</w:t>
            </w:r>
          </w:p>
        </w:tc>
      </w:tr>
      <w:tr>
        <w:tc>
          <w:tcPr>
            <w:tcW w:type="dxa" w:w="2232"/>
            <w:shd w:fill="EAF6FA"/>
          </w:tcPr>
          <w:p>
            <w:pPr>
              <w:spacing w:after="30" w:before="30"/>
            </w:pPr>
            <w:r>
              <w:rPr>
                <w:b/>
                <w:color w:val="073152"/>
              </w:rPr>
              <w:t>Local AI</w:t>
            </w:r>
          </w:p>
        </w:tc>
        <w:tc>
          <w:tcPr>
            <w:tcW w:type="dxa" w:w="8568"/>
          </w:tcPr>
          <w:p>
            <w:pPr>
              <w:spacing w:after="30" w:before="30"/>
            </w:pPr>
            <w:r>
              <w:t>MLX, Ollama, OpenInterpreter, LoRA fine-tuning, Apple Silicon model tiers, Obsidian workflows</w:t>
            </w:r>
          </w:p>
        </w:tc>
      </w:tr>
    </w:tbl>
    <w:p>
      <w:pPr>
        <w:pStyle w:val="Heading1"/>
        <w:spacing w:before="140" w:after="40"/>
      </w:pPr>
      <w:r>
        <w:t>PROFESSIONAL EXPERIENCE</w:t>
      </w:r>
    </w:p>
    <w:p>
      <w:pPr>
        <w:pStyle w:val="Heading2"/>
        <w:spacing w:after="20"/>
      </w:pPr>
      <w:r>
        <w:t>Ataraxia Pharma Pvt. Ltd.  |  Applied AI, Simulation &amp; Analytics  |  2026</w:t>
      </w:r>
    </w:p>
    <w:p>
      <w:pPr>
        <w:spacing w:after="24"/>
        <w:ind w:left="230" w:hanging="173"/>
      </w:pPr>
      <w:r>
        <w:rPr>
          <w:color w:val="0B91B4"/>
        </w:rPr>
        <w:t xml:space="preserve">• </w:t>
      </w:r>
      <w:r>
        <w:t>Developed AI-assisted research and scenario-analysis workflows for wellness product planning, combining structured market inputs, synthetic consumer cohorts, and comparative evidence reviews.</w:t>
      </w:r>
    </w:p>
    <w:p>
      <w:pPr>
        <w:spacing w:after="24"/>
        <w:ind w:left="230" w:hanging="173"/>
      </w:pPr>
      <w:r>
        <w:rPr>
          <w:color w:val="0B91B4"/>
        </w:rPr>
        <w:t xml:space="preserve">• </w:t>
      </w:r>
      <w:r>
        <w:t>Worked with a 1,000,000-row Monte Carlo simulation dataset in SQLite; analyzed pricing, channel commissions, landed costs, net selling price, and margin variables through feasibility and profitability filters.</w:t>
      </w:r>
    </w:p>
    <w:p>
      <w:pPr>
        <w:spacing w:after="24"/>
        <w:ind w:left="230" w:hanging="173"/>
      </w:pPr>
      <w:r>
        <w:rPr>
          <w:color w:val="0B91B4"/>
        </w:rPr>
        <w:t xml:space="preserve">• </w:t>
      </w:r>
      <w:r>
        <w:t>Produced a ranked 1,000-scenario CSV export and an HTML simulation explorer to support inspection of model assumptions, trade-offs, and shortlisted scenarios.</w:t>
      </w:r>
    </w:p>
    <w:p>
      <w:pPr>
        <w:spacing w:after="24"/>
        <w:ind w:left="230" w:hanging="173"/>
      </w:pPr>
      <w:r>
        <w:rPr>
          <w:color w:val="0B91B4"/>
        </w:rPr>
        <w:t xml:space="preserve">• </w:t>
      </w:r>
      <w:r>
        <w:t>Applied predictive scenario analysis to acquisition cost, ROAS, conversion, channel mix, and unit economics; distinguished synthetic outputs and forecast assumptions from observed commercial performance.</w:t>
      </w:r>
    </w:p>
    <w:p>
      <w:pPr>
        <w:spacing w:after="24"/>
        <w:ind w:left="230" w:hanging="173"/>
      </w:pPr>
      <w:r>
        <w:rPr>
          <w:color w:val="0B91B4"/>
        </w:rPr>
        <w:t xml:space="preserve">• </w:t>
      </w:r>
      <w:r>
        <w:t>Structured competitor comparisons and scientific-evidence audits into spreadsheets, dashboards, and technical briefs, documenting source evidence, limitations, and validation requirements.</w:t>
      </w:r>
    </w:p>
    <w:p>
      <w:pPr>
        <w:pStyle w:val="Heading1"/>
        <w:spacing w:before="140" w:after="40"/>
      </w:pPr>
      <w:r>
        <w:t>PROJECTS</w:t>
      </w:r>
    </w:p>
    <w:p>
      <w:pPr>
        <w:pStyle w:val="Heading2"/>
        <w:spacing w:after="20"/>
      </w:pPr>
      <w:r>
        <w:t>EpisodAI  |  Creator / maintainer  |  2025–Present</w:t>
      </w:r>
    </w:p>
    <w:p>
      <w:pPr>
        <w:spacing w:after="24"/>
        <w:ind w:left="230" w:hanging="173"/>
      </w:pPr>
      <w:r>
        <w:rPr>
          <w:color w:val="0B91B4"/>
        </w:rPr>
        <w:t xml:space="preserve">• </w:t>
      </w:r>
      <w:r>
        <w:t>Built a local MCP memory engine with SQLite WAL, vector and trigram retrieval, knowledge-graph workflows, cognitive decay, and Obsidian ingestion.</w:t>
      </w:r>
    </w:p>
    <w:p>
      <w:pPr>
        <w:spacing w:after="24"/>
        <w:ind w:left="230" w:hanging="173"/>
      </w:pPr>
      <w:r>
        <w:rPr>
          <w:color w:val="0B91B4"/>
        </w:rPr>
        <w:t xml:space="preserve">• </w:t>
      </w:r>
      <w:r>
        <w:t>Hardened the threaded HTTP bridge for concurrent requests and documented reproduction commands instead of relying on unverified benchmark claims.</w:t>
      </w:r>
    </w:p>
    <w:p>
      <w:pPr>
        <w:pStyle w:val="Heading2"/>
        <w:spacing w:after="20"/>
      </w:pPr>
      <w:r>
        <w:t>Episoda Core MCP  |  Creator / maintainer  |  2025–Present</w:t>
      </w:r>
    </w:p>
    <w:p>
      <w:pPr>
        <w:spacing w:after="24"/>
        <w:ind w:left="230" w:hanging="173"/>
      </w:pPr>
      <w:r>
        <w:rPr>
          <w:color w:val="0B91B4"/>
        </w:rPr>
        <w:t xml:space="preserve">• </w:t>
      </w:r>
      <w:r>
        <w:t>Built a zero-dependency Python MCP server using SQLite FTS5/BM25 for offline, persistent recall by coding agents.</w:t>
      </w:r>
    </w:p>
    <w:p>
      <w:pPr>
        <w:spacing w:after="24"/>
        <w:ind w:left="230" w:hanging="173"/>
      </w:pPr>
      <w:r>
        <w:rPr>
          <w:color w:val="0B91B4"/>
        </w:rPr>
        <w:t xml:space="preserve">• </w:t>
      </w:r>
      <w:r>
        <w:t>Designed a small proof path—save, search, stats, and tests—to keep the system auditable and easy to adopt.</w:t>
      </w:r>
    </w:p>
    <w:p>
      <w:pPr>
        <w:pStyle w:val="Heading2"/>
        <w:spacing w:after="20"/>
      </w:pPr>
      <w:r>
        <w:t>ALPURIS OS  |  Creator / maintainer  |  2025–Present</w:t>
      </w:r>
    </w:p>
    <w:p>
      <w:pPr>
        <w:spacing w:after="24"/>
        <w:ind w:left="230" w:hanging="173"/>
      </w:pPr>
      <w:r>
        <w:rPr>
          <w:color w:val="0B91B4"/>
        </w:rPr>
        <w:t xml:space="preserve">• </w:t>
      </w:r>
      <w:r>
        <w:t>Built a local multi-agent city simulation with autonomous citizens, sector activity, civic governance, an economy, Python services, and a 3D WebGL voxel interface.</w:t>
      </w:r>
    </w:p>
    <w:p>
      <w:pPr>
        <w:spacing w:after="24"/>
        <w:ind w:left="230" w:hanging="173"/>
      </w:pPr>
      <w:r>
        <w:rPr>
          <w:color w:val="0B91B4"/>
        </w:rPr>
        <w:t xml:space="preserve">• </w:t>
      </w:r>
      <w:r>
        <w:t>Added repo-relative configuration, portable workspace/database overrides, Docker/Compose support, and a reproducible demo path.</w:t>
      </w:r>
    </w:p>
    <w:p>
      <w:pPr>
        <w:pStyle w:val="Heading2"/>
        <w:keepNext/>
        <w:spacing w:after="20"/>
      </w:pPr>
      <w:r>
        <w:t>Sentinel / UWOF local AI systems lab  |  Personal research project  |  2025–Present</w:t>
      </w:r>
    </w:p>
    <w:p>
      <w:pPr>
        <w:keepNext/>
        <w:spacing w:after="24"/>
        <w:ind w:left="230" w:hanging="173"/>
      </w:pPr>
      <w:r>
        <w:rPr>
          <w:color w:val="0B91B4"/>
        </w:rPr>
        <w:t xml:space="preserve">• </w:t>
      </w:r>
      <w:r>
        <w:t>Designed a local orchestration runner that routes between MLX model tiers, a web-scout path, and an OpenInterpreter/Ollama execution path.</w:t>
      </w:r>
    </w:p>
    <w:p>
      <w:pPr>
        <w:spacing w:after="24"/>
        <w:ind w:left="230" w:hanging="173"/>
      </w:pPr>
      <w:r>
        <w:rPr>
          <w:color w:val="0B91B4"/>
        </w:rPr>
        <w:t xml:space="preserve">• </w:t>
      </w:r>
      <w:r>
        <w:t>Maintains local model checkpoints and an MLX LoRA fine-tuning script for Apple Silicon experiments; runtime assumptions are documented in the source folder.</w:t>
      </w:r>
    </w:p>
    <w:p>
      <w:pPr>
        <w:pStyle w:val="Heading1"/>
        <w:spacing w:before="140" w:after="40"/>
      </w:pPr>
      <w:r>
        <w:t>FULL-STACK ENGINEERING</w:t>
      </w:r>
    </w:p>
    <w:p>
      <w:pPr>
        <w:pStyle w:val="Heading2"/>
        <w:spacing w:after="20"/>
      </w:pPr>
      <w:r>
        <w:t>Independent Full-Stack Developer  |  2025–2026</w:t>
      </w:r>
    </w:p>
    <w:p>
      <w:pPr>
        <w:spacing w:after="24"/>
        <w:ind w:left="230" w:hanging="173"/>
      </w:pPr>
      <w:r>
        <w:rPr>
          <w:color w:val="0B91B4"/>
        </w:rPr>
        <w:t xml:space="preserve">• </w:t>
      </w:r>
      <w:r>
        <w:t>Built web applications with React/JavaScript frontends and Spring Boot backends, following SOLID principles and clear API boundaries.</w:t>
      </w:r>
    </w:p>
    <w:p>
      <w:pPr>
        <w:spacing w:after="24"/>
        <w:ind w:left="230" w:hanging="173"/>
      </w:pPr>
      <w:r>
        <w:rPr>
          <w:color w:val="0B91B4"/>
        </w:rPr>
        <w:t xml:space="preserve">• </w:t>
      </w:r>
      <w:r>
        <w:t>Designed SQL schemas and Hibernate/JPA mappings; built REST endpoints with global exception handling and Postman validation.</w:t>
      </w:r>
    </w:p>
    <w:p>
      <w:pPr>
        <w:spacing w:after="24"/>
        <w:ind w:left="230" w:hanging="173"/>
      </w:pPr>
      <w:r>
        <w:rPr>
          <w:color w:val="0B91B4"/>
        </w:rPr>
        <w:t xml:space="preserve">• </w:t>
      </w:r>
      <w:r>
        <w:t>Applied manual QA and Selenium automation to improve regression coverage and release confidence.</w:t>
      </w:r>
    </w:p>
    <w:p>
      <w:pPr>
        <w:pStyle w:val="Heading1"/>
        <w:spacing w:before="140" w:after="40"/>
      </w:pPr>
      <w:r>
        <w:t>EDUCATION &amp; CERTIFICATION</w:t>
      </w:r>
    </w:p>
    <w:p>
      <w:pPr>
        <w:pStyle w:val="Heading2"/>
        <w:spacing w:after="20"/>
      </w:pPr>
      <w:r>
        <w:t>Java Full Stack Development Certification  |  KodNest, Bengaluru</w:t>
      </w:r>
    </w:p>
    <w:p>
      <w:pPr>
        <w:spacing w:after="40"/>
      </w:pPr>
      <w:r>
        <w:t>Java, Python, Spring Boot, JPA/Hibernate, React, SQL, MongoDB, REST APIs, DSA, manual QA, and Selenium automation.</w:t>
      </w:r>
    </w:p>
    <w:p>
      <w:pPr>
        <w:pStyle w:val="Heading2"/>
        <w:spacing w:after="20"/>
      </w:pPr>
      <w:r>
        <w:t>Bachelor of Commerce in Computer Application  |  Rayalaseema University, Andhra Pradesh</w:t>
      </w:r>
    </w:p>
    <w:p>
      <w:pPr>
        <w:spacing w:after="40"/>
      </w:pPr>
      <w:r>
        <w:t>Coursework included Python, Core Java, C/C++, R, DBMS, and enterprise application foundations.</w:t>
      </w:r>
    </w:p>
    <w:p>
      <w:pPr>
        <w:pStyle w:val="Heading1"/>
        <w:spacing w:before="140" w:after="40"/>
      </w:pPr>
      <w:r>
        <w:t>SELECTED LINKS</w:t>
      </w:r>
    </w:p>
    <w:p>
      <w:pPr>
        <w:spacing w:after="40"/>
      </w:pPr>
      <w:r>
        <w:t>GitHub: https://github.com/lalithbuilds  ·  Project home: https://lalithbuilds.github.io/  ·  LinkedIn: https://www.linkedin.com/in/lalith-alpuri/</w:t>
      </w:r>
    </w:p>
    <w:p>
      <w:pPr>
        <w:pStyle w:val="Heading1"/>
        <w:keepNext/>
        <w:pageBreakBefore/>
      </w:pPr>
      <w:r>
        <w:t>CERTIFICATIONS &amp; CREDENTIALS</w:t>
      </w:r>
    </w:p>
    <w:p>
      <w:pPr>
        <w:spacing w:after="140"/>
      </w:pPr>
      <w:r>
        <w:t>Issued to Naga Lalith Chandra Alpuri · October 16, 2026</w:t>
      </w:r>
    </w:p>
    <w:p>
      <w:pPr>
        <w:pStyle w:val="Heading2"/>
      </w:pPr>
      <w:r>
        <w:t>Oracle certifications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00"/>
        <w:gridCol w:w="8712"/>
      </w:tblGrid>
      <w:tr>
        <w:trPr>
          <w:cantSplit/>
        </w:trPr>
        <w:tc>
          <w:tcPr>
            <w:tcW w:type="dxa" w:w="1800"/>
          </w:tcPr>
          <w:p>
            <w:pPr>
              <w:keepLines/>
              <w:spacing w:after="80"/>
            </w:pPr>
            <w:r>
              <w:rPr>
                <w:sz w:val="18"/>
              </w:rPr>
              <w:drawing>
                <wp:inline xmlns:a="http://schemas.openxmlformats.org/drawingml/2006/main" xmlns:pic="http://schemas.openxmlformats.org/drawingml/2006/picture">
                  <wp:extent cx="1051560" cy="52578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5257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712"/>
          </w:tcPr>
          <w:p>
            <w:pPr>
              <w:keepLines/>
              <w:spacing w:after="80"/>
            </w:pPr>
            <w:r>
              <w:rPr>
                <w:b/>
                <w:sz w:val="18"/>
              </w:rPr>
              <w:t>Oracle Fusion AI Agent Studio Certified Foundations Associate - Rel 1</w:t>
            </w:r>
            <w:r>
              <w:rPr>
                <w:sz w:val="18"/>
              </w:rPr>
              <w:br/>
              <w:t>Oracle · Exam 1Z0-1145-1</w:t>
              <w:br/>
              <w:t>Issued October 16, 2026</w:t>
              <w:br/>
            </w:r>
            <w:hyperlink r:id="rId10">
              <w:r>
                <w:rPr>
                  <w:color w:val="245A81"/>
                  <w:sz w:val="17"/>
                </w:rPr>
                <w:t>Verify credential</w:t>
              </w:r>
            </w:hyperlink>
            <w:r>
              <w:rPr>
                <w:sz w:val="18"/>
              </w:rPr>
              <w:t xml:space="preserve">  |  </w:t>
            </w:r>
            <w:hyperlink r:id="rId14">
              <w:r>
                <w:rPr>
                  <w:color w:val="245A81"/>
                  <w:sz w:val="17"/>
                </w:rPr>
                <w:t>View PDF</w:t>
              </w:r>
            </w:hyperlink>
          </w:p>
        </w:tc>
      </w:tr>
      <w:tr>
        <w:trPr>
          <w:cantSplit/>
        </w:trPr>
        <w:tc>
          <w:tcPr>
            <w:tcW w:type="dxa" w:w="1800"/>
          </w:tcPr>
          <w:p>
            <w:pPr>
              <w:keepLines/>
              <w:spacing w:after="80"/>
            </w:pPr>
            <w:r>
              <w:rPr>
                <w:sz w:val="18"/>
              </w:rPr>
              <w:drawing>
                <wp:inline xmlns:a="http://schemas.openxmlformats.org/drawingml/2006/main" xmlns:pic="http://schemas.openxmlformats.org/drawingml/2006/picture">
                  <wp:extent cx="1051560" cy="52578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5257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712"/>
          </w:tcPr>
          <w:p>
            <w:pPr>
              <w:keepLines/>
              <w:spacing w:after="80"/>
            </w:pPr>
            <w:r>
              <w:rPr>
                <w:b/>
                <w:sz w:val="18"/>
              </w:rPr>
              <w:t>Oracle Cloud Infrastructure Certified Foundations Associate</w:t>
            </w:r>
            <w:r>
              <w:rPr>
                <w:sz w:val="18"/>
              </w:rPr>
              <w:br/>
              <w:t>Oracle · Exam 1Z0-1085-26</w:t>
              <w:br/>
              <w:t>Issued October 16, 2026 · Valid until October 16, 2028</w:t>
              <w:br/>
            </w:r>
            <w:hyperlink r:id="rId12">
              <w:r>
                <w:rPr>
                  <w:color w:val="245A81"/>
                  <w:sz w:val="17"/>
                </w:rPr>
                <w:t>Verify credential</w:t>
              </w:r>
            </w:hyperlink>
            <w:r>
              <w:rPr>
                <w:sz w:val="18"/>
              </w:rPr>
              <w:t xml:space="preserve">  |  </w:t>
            </w:r>
            <w:hyperlink r:id="rId15">
              <w:r>
                <w:rPr>
                  <w:color w:val="245A81"/>
                  <w:sz w:val="17"/>
                </w:rPr>
                <w:t>View PDF</w:t>
              </w:r>
            </w:hyperlink>
          </w:p>
        </w:tc>
      </w:tr>
    </w:tbl>
    <w:p>
      <w:pPr>
        <w:pStyle w:val="Heading2"/>
      </w:pPr>
      <w:r>
        <w:t>Claude Academy course completion badges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00"/>
        <w:gridCol w:w="8712"/>
      </w:tblGrid>
      <w:tr>
        <w:trPr>
          <w:cantSplit/>
        </w:trPr>
        <w:tc>
          <w:tcPr>
            <w:tcW w:type="dxa" w:w="1800"/>
          </w:tcPr>
          <w:p>
            <w:pPr>
              <w:keepLines/>
              <w:spacing w:after="80"/>
            </w:pPr>
            <w:r>
              <w:rPr>
                <w:sz w:val="18"/>
              </w:rPr>
              <w:drawing>
                <wp:inline xmlns:a="http://schemas.openxmlformats.org/drawingml/2006/main" xmlns:pic="http://schemas.openxmlformats.org/drawingml/2006/picture">
                  <wp:extent cx="1051560" cy="770507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laude-ai-fluency-for-builders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7050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712"/>
          </w:tcPr>
          <w:p>
            <w:pPr>
              <w:keepLines/>
              <w:spacing w:after="80"/>
            </w:pPr>
            <w:r>
              <w:rPr>
                <w:b/>
                <w:sz w:val="18"/>
              </w:rPr>
              <w:t>AI Fluency for Builders</w:t>
            </w:r>
            <w:r>
              <w:rPr>
                <w:sz w:val="18"/>
              </w:rPr>
              <w:br/>
              <w:t>Claude Academy · Course completion badge</w:t>
              <w:br/>
              <w:t>Issued October 16, 2026</w:t>
              <w:br/>
            </w:r>
            <w:hyperlink r:id="rId17">
              <w:r>
                <w:rPr>
                  <w:color w:val="245A81"/>
                  <w:sz w:val="17"/>
                </w:rPr>
                <w:t>Verify badge</w:t>
              </w:r>
            </w:hyperlink>
            <w:r>
              <w:rPr>
                <w:sz w:val="18"/>
              </w:rPr>
              <w:t xml:space="preserve">  |  </w:t>
            </w:r>
            <w:hyperlink r:id="rId18">
              <w:r>
                <w:rPr>
                  <w:color w:val="245A81"/>
                  <w:sz w:val="17"/>
                </w:rPr>
                <w:t>View PDF</w:t>
              </w:r>
            </w:hyperlink>
          </w:p>
        </w:tc>
      </w:tr>
      <w:tr>
        <w:trPr>
          <w:cantSplit/>
        </w:trPr>
        <w:tc>
          <w:tcPr>
            <w:tcW w:type="dxa" w:w="1800"/>
          </w:tcPr>
          <w:p>
            <w:pPr>
              <w:keepLines/>
              <w:spacing w:after="80"/>
            </w:pPr>
            <w:r>
              <w:rPr>
                <w:sz w:val="18"/>
              </w:rPr>
              <w:drawing>
                <wp:inline xmlns:a="http://schemas.openxmlformats.org/drawingml/2006/main" xmlns:pic="http://schemas.openxmlformats.org/drawingml/2006/picture">
                  <wp:extent cx="1051560" cy="770507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laude-building-with-the-api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7050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712"/>
          </w:tcPr>
          <w:p>
            <w:pPr>
              <w:keepLines/>
              <w:spacing w:after="80"/>
            </w:pPr>
            <w:r>
              <w:rPr>
                <w:b/>
                <w:sz w:val="18"/>
              </w:rPr>
              <w:t>Building with the Claude API</w:t>
            </w:r>
            <w:r>
              <w:rPr>
                <w:sz w:val="18"/>
              </w:rPr>
              <w:br/>
              <w:t>Claude Academy · Course completion badge</w:t>
              <w:br/>
              <w:t>Issued October 16, 2026</w:t>
              <w:br/>
            </w:r>
            <w:hyperlink r:id="rId20">
              <w:r>
                <w:rPr>
                  <w:color w:val="245A81"/>
                  <w:sz w:val="17"/>
                </w:rPr>
                <w:t>Verify badge</w:t>
              </w:r>
            </w:hyperlink>
            <w:r>
              <w:rPr>
                <w:sz w:val="18"/>
              </w:rPr>
              <w:t xml:space="preserve">  |  </w:t>
            </w:r>
            <w:hyperlink r:id="rId21">
              <w:r>
                <w:rPr>
                  <w:color w:val="245A81"/>
                  <w:sz w:val="17"/>
                </w:rPr>
                <w:t>View PDF</w:t>
              </w:r>
            </w:hyperlink>
          </w:p>
        </w:tc>
      </w:tr>
    </w:tbl>
    <w:p>
      <w:pPr>
        <w:pStyle w:val="Heading2"/>
      </w:pPr>
      <w:r>
        <w:t>Industry job simulation certificates · Forage</w:t>
      </w:r>
    </w:p>
    <w:p>
      <w:pPr>
        <w:keepNext/>
        <w:spacing w:after="20"/>
      </w:pPr>
      <w:r>
        <w:rPr>
          <w:b/>
        </w:rPr>
        <w:t>GenAI Job Simulation | BCG X · Forage</w:t>
      </w:r>
    </w:p>
    <w:p>
      <w:pPr>
        <w:keepLines/>
        <w:spacing w:after="120"/>
      </w:pPr>
      <w:r>
        <w:rPr>
          <w:sz w:val="18"/>
        </w:rPr>
        <w:t>Certificate of Completion · October 16, 2026</w:t>
        <w:br/>
        <w:t xml:space="preserve">Data extraction and initial analysis; developing an AI-powered financial chatbot. </w:t>
      </w:r>
      <w:hyperlink r:id="rId22">
        <w:r>
          <w:rPr>
            <w:color w:val="245A81"/>
            <w:sz w:val="17"/>
          </w:rPr>
          <w:t>View certificate</w:t>
        </w:r>
      </w:hyperlink>
    </w:p>
    <w:p>
      <w:pPr>
        <w:keepNext/>
        <w:spacing w:after="20"/>
      </w:pPr>
      <w:r>
        <w:rPr>
          <w:b/>
        </w:rPr>
        <w:t>AI in Action Job Simulation | Vista Equity Partners · Forage</w:t>
      </w:r>
    </w:p>
    <w:p>
      <w:pPr>
        <w:keepLines/>
        <w:spacing w:after="120"/>
      </w:pPr>
      <w:r>
        <w:rPr>
          <w:sz w:val="18"/>
        </w:rPr>
        <w:t>Certificate of Completion · October 16, 2026</w:t>
        <w:br/>
        <w:t xml:space="preserve">Prompt and contextual engineering; automating a professional workflow. </w:t>
      </w:r>
      <w:hyperlink r:id="rId23">
        <w:r>
          <w:rPr>
            <w:color w:val="245A81"/>
            <w:sz w:val="17"/>
          </w:rPr>
          <w:t>View certificate</w:t>
        </w:r>
      </w:hyperlink>
    </w:p>
    <w:p>
      <w:pPr>
        <w:keepNext/>
        <w:spacing w:after="20"/>
      </w:pPr>
      <w:r>
        <w:rPr>
          <w:b/>
        </w:rPr>
        <w:t>Automation AI Accelerator: From Co-pilot to Autonomous Agent Job Simulation | Datacom · Forage</w:t>
      </w:r>
    </w:p>
    <w:p>
      <w:pPr>
        <w:keepLines/>
        <w:spacing w:after="120"/>
      </w:pPr>
      <w:r>
        <w:rPr>
          <w:sz w:val="18"/>
        </w:rPr>
        <w:t>Certificate of Completion · October 16, 2026</w:t>
        <w:br/>
        <w:t xml:space="preserve">AI-powered debugging and refactoring; process-flow design. </w:t>
      </w:r>
      <w:hyperlink r:id="rId24">
        <w:r>
          <w:rPr>
            <w:color w:val="245A81"/>
            <w:sz w:val="17"/>
          </w:rPr>
          <w:t>View certificate</w:t>
        </w:r>
      </w:hyperlink>
    </w:p>
    <w:p>
      <w:pPr>
        <w:keepNext/>
        <w:spacing w:after="20"/>
      </w:pPr>
      <w:r>
        <w:rPr>
          <w:b/>
        </w:rPr>
        <w:t>GenAI for Proposal Generation Job Simulation | EAB · Forage</w:t>
      </w:r>
    </w:p>
    <w:p>
      <w:pPr>
        <w:keepLines/>
        <w:spacing w:after="120"/>
      </w:pPr>
      <w:r>
        <w:rPr>
          <w:sz w:val="18"/>
        </w:rPr>
        <w:t>Certificate of Completion · October 16, 2026</w:t>
        <w:br/>
        <w:t xml:space="preserve">GenAI hypothesis-proposal drafting; proposal refinement through continued discovery. </w:t>
      </w:r>
      <w:hyperlink r:id="rId25">
        <w:r>
          <w:rPr>
            <w:color w:val="245A81"/>
            <w:sz w:val="17"/>
          </w:rPr>
          <w:t>View certificate</w:t>
        </w:r>
      </w:hyperlink>
    </w:p>
    <w:p>
      <w:pPr>
        <w:keepNext/>
        <w:spacing w:after="20"/>
      </w:pPr>
      <w:r>
        <w:rPr>
          <w:b/>
        </w:rPr>
        <w:t>Cyber Job Simulation | Deloitte · Forage</w:t>
      </w:r>
    </w:p>
    <w:p>
      <w:pPr>
        <w:keepLines/>
        <w:spacing w:after="120"/>
      </w:pPr>
      <w:r>
        <w:rPr>
          <w:sz w:val="18"/>
        </w:rPr>
        <w:t>Certificate of Completion · October 16, 2026</w:t>
        <w:br/>
        <w:t xml:space="preserve">Practical tasks in cyber security. </w:t>
      </w:r>
      <w:hyperlink r:id="rId13">
        <w:r>
          <w:rPr>
            <w:color w:val="245A81"/>
            <w:sz w:val="17"/>
          </w:rPr>
          <w:t>View certificate</w:t>
        </w:r>
      </w:hyperlink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color w:val="263040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B5E83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B2747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0B2747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hyperlink" Target="https://catalog-education.oracle.com/ords/certview/sharebadge?id=cb56f4fcf536731486643d60b9accdbc27e5e3eb4cb83bfb718695731ccfed62" TargetMode="External"/><Relationship Id="rId11" Type="http://schemas.openxmlformats.org/officeDocument/2006/relationships/image" Target="media/image2.jpg"/><Relationship Id="rId12" Type="http://schemas.openxmlformats.org/officeDocument/2006/relationships/hyperlink" Target="https://catalog-education.oracle.com/ords/certview/sharebadge?id=ab72622e690f7a99bd57fb46e711e9d4252bc3f8ffe931ab8e6ce2276d1273e5" TargetMode="External"/><Relationship Id="rId13" Type="http://schemas.openxmlformats.org/officeDocument/2006/relationships/hyperlink" Target="https://lalithbuilds.github.io/assets/certifications/deloitte-cyber-completion.pdf" TargetMode="External"/><Relationship Id="rId14" Type="http://schemas.openxmlformats.org/officeDocument/2006/relationships/hyperlink" Target="https://lalithbuilds.github.io/assets/certifications/oracle-fusion-ai-agent-studio.pdf" TargetMode="External"/><Relationship Id="rId15" Type="http://schemas.openxmlformats.org/officeDocument/2006/relationships/hyperlink" Target="https://lalithbuilds.github.io/assets/certifications/oracle-oci-foundations-2026.pdf" TargetMode="External"/><Relationship Id="rId16" Type="http://schemas.openxmlformats.org/officeDocument/2006/relationships/image" Target="media/image3.jpg"/><Relationship Id="rId17" Type="http://schemas.openxmlformats.org/officeDocument/2006/relationships/hyperlink" Target="https://academy.claude.com/verify/c9b0c2f74464e56170ef25b6b7e462db" TargetMode="External"/><Relationship Id="rId18" Type="http://schemas.openxmlformats.org/officeDocument/2006/relationships/hyperlink" Target="https://lalithbuilds.github.io/assets/certifications/claude-ai-fluency-for-builders.pdf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academy.claude.com/verify/03b31f17a9bc38fb87d160798bec10e3" TargetMode="External"/><Relationship Id="rId21" Type="http://schemas.openxmlformats.org/officeDocument/2006/relationships/hyperlink" Target="https://lalithbuilds.github.io/assets/certifications/claude-building-with-the-api.pdf" TargetMode="External"/><Relationship Id="rId22" Type="http://schemas.openxmlformats.org/officeDocument/2006/relationships/hyperlink" Target="https://lalithbuilds.github.io/assets/certifications/bcgx-genai-completion.pdf" TargetMode="External"/><Relationship Id="rId23" Type="http://schemas.openxmlformats.org/officeDocument/2006/relationships/hyperlink" Target="https://lalithbuilds.github.io/assets/certifications/vista-ai-in-action-completion.pdf" TargetMode="External"/><Relationship Id="rId24" Type="http://schemas.openxmlformats.org/officeDocument/2006/relationships/hyperlink" Target="https://lalithbuilds.github.io/assets/certifications/datacom-automation-ai-completion.pdf" TargetMode="External"/><Relationship Id="rId25" Type="http://schemas.openxmlformats.org/officeDocument/2006/relationships/hyperlink" Target="https://lalithbuilds.github.io/assets/certifications/eab-genai-proposal-completion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Lalith Alpuri Resume — AI Infrastructure Engineer</dc:title>
  <dc:subject>AI infrastructure, MCP servers, local agent memory, and applied AI</dc:subject>
  <dc:creator>Lalith Alpuri</dc:creator>
  <cp:keywords>Lalith Alpuri, Alpuri Lalith, AI infrastructure engineer, AI agents, MCP, RAG, EpisodAI, ALPURIS OS, Episoda Core MCP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