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00"/>
      </w:pPr>
      <w:r>
        <w:rPr>
          <w:rFonts w:ascii="Calibri" w:cs="Calibri" w:eastAsia="Calibri" w:hAnsi="Calibri"/>
          <w:b/>
          <w:bCs/>
          <w:color w:val="1a2947"/>
          <w:sz w:val="32"/>
          <w:szCs w:val="32"/>
        </w:rPr>
        <w:t xml:space="preserve">Project Initialization and Planning Phase</w:t>
      </w:r>
    </w:p>
    <w:tbl>
      <w:tblPr>
        <w:tblW w:type="dxa" w:w="10806"/>
        <w:tblBorders>
          <w:top w:val="single" w:color="auto" w:sz="4"/>
          <w:left w:val="single" w:color="auto" w:sz="4"/>
          <w:bottom w:val="single" w:color="auto" w:sz="4"/>
          <w:right w:val="single" w:color="auto" w:sz="4"/>
          <w:insideH w:val="single" w:color="auto" w:sz="4"/>
          <w:insideV w:val="single" w:color="auto" w:sz="4"/>
        </w:tblBorders>
      </w:tblPr>
      <w:tblGrid>
        <w:gridCol w:w="1764"/>
        <w:gridCol w:w="3859"/>
        <w:gridCol w:w="1875"/>
        <w:gridCol w:w="3308"/>
      </w:tblGrid>
      <w:tr>
        <w:tc>
          <w:tcPr>
            <w:tcW w:type="dxa" w:w="1764"/>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Date</w:t>
            </w:r>
          </w:p>
        </w:tc>
        <w:tc>
          <w:tcPr>
            <w:tcW w:type="dxa" w:w="3859"/>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04 July 2026</w:t>
            </w:r>
          </w:p>
        </w:tc>
        <w:tc>
          <w:tcPr>
            <w:tcW w:type="dxa" w:w="1875"/>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Team ID</w:t>
            </w:r>
          </w:p>
        </w:tc>
        <w:tc>
          <w:tcPr>
            <w:tcW w:type="dxa" w:w="3308"/>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HDIP-2026-01</w:t>
            </w:r>
          </w:p>
        </w:tc>
      </w:tr>
      <w:tr>
        <w:tc>
          <w:tcPr>
            <w:tcW w:type="dxa" w:w="1764"/>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Project Name</w:t>
            </w:r>
          </w:p>
        </w:tc>
        <w:tc>
          <w:tcPr>
            <w:tcW w:type="dxa" w:w="3859"/>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Human Development Index (HDI) Predictor</w:t>
            </w:r>
          </w:p>
        </w:tc>
        <w:tc>
          <w:tcPr>
            <w:tcW w:type="dxa" w:w="1875"/>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Maximum Marks</w:t>
            </w:r>
          </w:p>
        </w:tc>
        <w:tc>
          <w:tcPr>
            <w:tcW w:type="dxa" w:w="3308"/>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3 Marks</w:t>
            </w:r>
          </w:p>
        </w:tc>
      </w:tr>
    </w:tbl>
    <w:p>
      <w:pPr>
        <w:spacing w:after="160"/>
      </w:pPr>
    </w:p>
    <w:p>
      <w:pPr>
        <w:pStyle w:val="Heading2"/>
        <w:spacing w:after="120" w:before="240"/>
      </w:pPr>
      <w:r>
        <w:rPr>
          <w:rFonts w:ascii="Calibri" w:cs="Calibri" w:eastAsia="Calibri" w:hAnsi="Calibri"/>
          <w:b/>
          <w:bCs/>
          <w:color w:val="16213e"/>
          <w:sz w:val="24"/>
          <w:szCs w:val="24"/>
        </w:rPr>
        <w:t xml:space="preserve">Define Problem Statements (Customer Problem Statement Template)</w:t>
      </w:r>
    </w:p>
    <w:p>
      <w:pPr>
        <w:spacing w:after="120"/>
      </w:pPr>
      <w:r>
        <w:rPr>
          <w:rFonts w:ascii="Calibri" w:cs="Calibri" w:eastAsia="Calibri" w:hAnsi="Calibri"/>
          <w:sz w:val="20"/>
          <w:szCs w:val="20"/>
        </w:rPr>
        <w:t xml:space="preserve">A well-articulated customer problem statement helps the team focus on what matters to create an experience users will value. The statements below frame the problem from the point of view of the HDI Predictor's target users.</w:t>
      </w:r>
    </w:p>
    <w:tbl>
      <w:tblPr>
        <w:tblW w:type="dxa" w:w="10805"/>
        <w:tblBorders>
          <w:top w:val="single" w:color="auto" w:sz="4"/>
          <w:left w:val="single" w:color="auto" w:sz="4"/>
          <w:bottom w:val="single" w:color="auto" w:sz="4"/>
          <w:right w:val="single" w:color="auto" w:sz="4"/>
          <w:insideH w:val="single" w:color="auto" w:sz="4"/>
          <w:insideV w:val="single" w:color="auto" w:sz="4"/>
        </w:tblBorders>
      </w:tblPr>
      <w:tblGrid>
        <w:gridCol w:w="720"/>
        <w:gridCol w:w="2161"/>
        <w:gridCol w:w="2161"/>
        <w:gridCol w:w="2161"/>
        <w:gridCol w:w="2058"/>
        <w:gridCol w:w="1544"/>
      </w:tblGrid>
      <w:tr>
        <w:tc>
          <w:tcPr>
            <w:tcW w:type="dxa" w:w="720"/>
            <w:tcBorders>
              <w:top w:val="single" w:color="999999" w:sz="4"/>
              <w:left w:val="single" w:color="999999" w:sz="4"/>
              <w:bottom w:val="single" w:color="999999" w:sz="4"/>
              <w:right w:val="single" w:color="999999" w:sz="4"/>
            </w:tcBorders>
            <w:shd w:fill="1a2947" w:val="clear"/>
            <w:tcMar>
              <w:top w:type="dxa" w:w="60"/>
              <w:left w:type="dxa" w:w="90"/>
              <w:bottom w:type="dxa" w:w="60"/>
              <w:right w:type="dxa" w:w="90"/>
            </w:tcMar>
            <w:vAlign w:val="top"/>
          </w:tcPr>
          <w:p>
            <w:pPr>
              <w:spacing w:after="40"/>
              <w:jc w:val="left"/>
            </w:pPr>
            <w:r>
              <w:rPr>
                <w:rFonts w:ascii="Calibri" w:cs="Calibri" w:eastAsia="Calibri" w:hAnsi="Calibri"/>
                <w:b/>
                <w:bCs/>
                <w:color w:val="FFFFFF"/>
                <w:sz w:val="18"/>
                <w:szCs w:val="18"/>
              </w:rPr>
              <w:t xml:space="preserve">PS</w:t>
            </w:r>
          </w:p>
        </w:tc>
        <w:tc>
          <w:tcPr>
            <w:tcW w:type="dxa" w:w="2161"/>
            <w:tcBorders>
              <w:top w:val="single" w:color="999999" w:sz="4"/>
              <w:left w:val="single" w:color="999999" w:sz="4"/>
              <w:bottom w:val="single" w:color="999999" w:sz="4"/>
              <w:right w:val="single" w:color="999999" w:sz="4"/>
            </w:tcBorders>
            <w:shd w:fill="1a2947" w:val="clear"/>
            <w:tcMar>
              <w:top w:type="dxa" w:w="60"/>
              <w:left w:type="dxa" w:w="90"/>
              <w:bottom w:type="dxa" w:w="60"/>
              <w:right w:type="dxa" w:w="90"/>
            </w:tcMar>
            <w:vAlign w:val="top"/>
          </w:tcPr>
          <w:p>
            <w:pPr>
              <w:spacing w:after="40"/>
              <w:jc w:val="left"/>
            </w:pPr>
            <w:r>
              <w:rPr>
                <w:rFonts w:ascii="Calibri" w:cs="Calibri" w:eastAsia="Calibri" w:hAnsi="Calibri"/>
                <w:b/>
                <w:bCs/>
                <w:color w:val="FFFFFF"/>
                <w:sz w:val="18"/>
                <w:szCs w:val="18"/>
              </w:rPr>
              <w:t xml:space="preserve">I am (Customer)</w:t>
            </w:r>
          </w:p>
        </w:tc>
        <w:tc>
          <w:tcPr>
            <w:tcW w:type="dxa" w:w="2161"/>
            <w:tcBorders>
              <w:top w:val="single" w:color="999999" w:sz="4"/>
              <w:left w:val="single" w:color="999999" w:sz="4"/>
              <w:bottom w:val="single" w:color="999999" w:sz="4"/>
              <w:right w:val="single" w:color="999999" w:sz="4"/>
            </w:tcBorders>
            <w:shd w:fill="1a2947" w:val="clear"/>
            <w:tcMar>
              <w:top w:type="dxa" w:w="60"/>
              <w:left w:type="dxa" w:w="90"/>
              <w:bottom w:type="dxa" w:w="60"/>
              <w:right w:type="dxa" w:w="90"/>
            </w:tcMar>
            <w:vAlign w:val="top"/>
          </w:tcPr>
          <w:p>
            <w:pPr>
              <w:spacing w:after="40"/>
              <w:jc w:val="left"/>
            </w:pPr>
            <w:r>
              <w:rPr>
                <w:rFonts w:ascii="Calibri" w:cs="Calibri" w:eastAsia="Calibri" w:hAnsi="Calibri"/>
                <w:b/>
                <w:bCs/>
                <w:color w:val="FFFFFF"/>
                <w:sz w:val="18"/>
                <w:szCs w:val="18"/>
              </w:rPr>
              <w:t xml:space="preserve">I'm trying to</w:t>
            </w:r>
          </w:p>
        </w:tc>
        <w:tc>
          <w:tcPr>
            <w:tcW w:type="dxa" w:w="2161"/>
            <w:tcBorders>
              <w:top w:val="single" w:color="999999" w:sz="4"/>
              <w:left w:val="single" w:color="999999" w:sz="4"/>
              <w:bottom w:val="single" w:color="999999" w:sz="4"/>
              <w:right w:val="single" w:color="999999" w:sz="4"/>
            </w:tcBorders>
            <w:shd w:fill="1a2947" w:val="clear"/>
            <w:tcMar>
              <w:top w:type="dxa" w:w="60"/>
              <w:left w:type="dxa" w:w="90"/>
              <w:bottom w:type="dxa" w:w="60"/>
              <w:right w:type="dxa" w:w="90"/>
            </w:tcMar>
            <w:vAlign w:val="top"/>
          </w:tcPr>
          <w:p>
            <w:pPr>
              <w:spacing w:after="40"/>
              <w:jc w:val="left"/>
            </w:pPr>
            <w:r>
              <w:rPr>
                <w:rFonts w:ascii="Calibri" w:cs="Calibri" w:eastAsia="Calibri" w:hAnsi="Calibri"/>
                <w:b/>
                <w:bCs/>
                <w:color w:val="FFFFFF"/>
                <w:sz w:val="18"/>
                <w:szCs w:val="18"/>
              </w:rPr>
              <w:t xml:space="preserve">But</w:t>
            </w:r>
          </w:p>
        </w:tc>
        <w:tc>
          <w:tcPr>
            <w:tcW w:type="dxa" w:w="2058"/>
            <w:tcBorders>
              <w:top w:val="single" w:color="999999" w:sz="4"/>
              <w:left w:val="single" w:color="999999" w:sz="4"/>
              <w:bottom w:val="single" w:color="999999" w:sz="4"/>
              <w:right w:val="single" w:color="999999" w:sz="4"/>
            </w:tcBorders>
            <w:shd w:fill="1a2947" w:val="clear"/>
            <w:tcMar>
              <w:top w:type="dxa" w:w="60"/>
              <w:left w:type="dxa" w:w="90"/>
              <w:bottom w:type="dxa" w:w="60"/>
              <w:right w:type="dxa" w:w="90"/>
            </w:tcMar>
            <w:vAlign w:val="top"/>
          </w:tcPr>
          <w:p>
            <w:pPr>
              <w:spacing w:after="40"/>
              <w:jc w:val="left"/>
            </w:pPr>
            <w:r>
              <w:rPr>
                <w:rFonts w:ascii="Calibri" w:cs="Calibri" w:eastAsia="Calibri" w:hAnsi="Calibri"/>
                <w:b/>
                <w:bCs/>
                <w:color w:val="FFFFFF"/>
                <w:sz w:val="18"/>
                <w:szCs w:val="18"/>
              </w:rPr>
              <w:t xml:space="preserve">Because</w:t>
            </w:r>
          </w:p>
        </w:tc>
        <w:tc>
          <w:tcPr>
            <w:tcW w:type="dxa" w:w="1544"/>
            <w:tcBorders>
              <w:top w:val="single" w:color="999999" w:sz="4"/>
              <w:left w:val="single" w:color="999999" w:sz="4"/>
              <w:bottom w:val="single" w:color="999999" w:sz="4"/>
              <w:right w:val="single" w:color="999999" w:sz="4"/>
            </w:tcBorders>
            <w:shd w:fill="1a2947" w:val="clear"/>
            <w:tcMar>
              <w:top w:type="dxa" w:w="60"/>
              <w:left w:type="dxa" w:w="90"/>
              <w:bottom w:type="dxa" w:w="60"/>
              <w:right w:type="dxa" w:w="90"/>
            </w:tcMar>
            <w:vAlign w:val="top"/>
          </w:tcPr>
          <w:p>
            <w:pPr>
              <w:spacing w:after="40"/>
              <w:jc w:val="left"/>
            </w:pPr>
            <w:r>
              <w:rPr>
                <w:rFonts w:ascii="Calibri" w:cs="Calibri" w:eastAsia="Calibri" w:hAnsi="Calibri"/>
                <w:b/>
                <w:bCs/>
                <w:color w:val="FFFFFF"/>
                <w:sz w:val="18"/>
                <w:szCs w:val="18"/>
              </w:rPr>
              <w:t xml:space="preserve">Which makes me feel</w:t>
            </w:r>
          </w:p>
        </w:tc>
      </w:tr>
      <w:tr>
        <w:tc>
          <w:tcPr>
            <w:tcW w:type="dxa" w:w="720"/>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PS-1</w:t>
            </w:r>
          </w:p>
        </w:tc>
        <w:tc>
          <w:tcPr>
            <w:tcW w:type="dxa" w:w="2161"/>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An economics/policy student researching development indicators</w:t>
            </w:r>
          </w:p>
        </w:tc>
        <w:tc>
          <w:tcPr>
            <w:tcW w:type="dxa" w:w="2161"/>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quickly estimate a country's HDI from raw indicators</w:t>
            </w:r>
          </w:p>
        </w:tc>
        <w:tc>
          <w:tcPr>
            <w:tcW w:type="dxa" w:w="2161"/>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the official UNDP calculation involves several manual sub-index formulas</w:t>
            </w:r>
          </w:p>
        </w:tc>
        <w:tc>
          <w:tcPr>
            <w:tcW w:type="dxa" w:w="2058"/>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they lack an interactive tool to compute it instantly</w:t>
            </w:r>
          </w:p>
        </w:tc>
        <w:tc>
          <w:tcPr>
            <w:tcW w:type="dxa" w:w="1544"/>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frustrated and slowed down during research</w:t>
            </w:r>
          </w:p>
        </w:tc>
      </w:tr>
      <w:tr>
        <w:tc>
          <w:tcPr>
            <w:tcW w:type="dxa" w:w="720"/>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PS-2</w:t>
            </w:r>
          </w:p>
        </w:tc>
        <w:tc>
          <w:tcPr>
            <w:tcW w:type="dxa" w:w="2161"/>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An NGO or policy analyst comparing regions</w:t>
            </w:r>
          </w:p>
        </w:tc>
        <w:tc>
          <w:tcPr>
            <w:tcW w:type="dxa" w:w="2161"/>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find countries with a similar development profile to benchmark against</w:t>
            </w:r>
          </w:p>
        </w:tc>
        <w:tc>
          <w:tcPr>
            <w:tcW w:type="dxa" w:w="2161"/>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public HDI datasets are static spreadsheets that are hard to filter and explore</w:t>
            </w:r>
          </w:p>
        </w:tc>
        <w:tc>
          <w:tcPr>
            <w:tcW w:type="dxa" w:w="2058"/>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there is no lightweight, searchable interface for this data</w:t>
            </w:r>
          </w:p>
        </w:tc>
        <w:tc>
          <w:tcPr>
            <w:tcW w:type="dxa" w:w="1544"/>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unproductive when preparing reports</w:t>
            </w:r>
          </w:p>
        </w:tc>
      </w:tr>
      <w:tr>
        <w:tc>
          <w:tcPr>
            <w:tcW w:type="dxa" w:w="720"/>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PS-3</w:t>
            </w:r>
          </w:p>
        </w:tc>
        <w:tc>
          <w:tcPr>
            <w:tcW w:type="dxa" w:w="2161"/>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A data-science learner studying regression modelling</w:t>
            </w:r>
          </w:p>
        </w:tc>
        <w:tc>
          <w:tcPr>
            <w:tcW w:type="dxa" w:w="2161"/>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understand how socioeconomic indicators map onto a real-world composite index</w:t>
            </w:r>
          </w:p>
        </w:tc>
        <w:tc>
          <w:tcPr>
            <w:tcW w:type="dxa" w:w="2161"/>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most public examples don't expose the trained model's coefficients or accuracy</w:t>
            </w:r>
          </w:p>
        </w:tc>
        <w:tc>
          <w:tcPr>
            <w:tcW w:type="dxa" w:w="2058"/>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the connection between the math and the real prediction is opaque</w:t>
            </w:r>
          </w:p>
        </w:tc>
        <w:tc>
          <w:tcPr>
            <w:tcW w:type="dxa" w:w="1544"/>
            <w:tcBorders>
              <w:top w:val="single" w:color="999999" w:sz="4"/>
              <w:left w:val="single" w:color="999999" w:sz="4"/>
              <w:bottom w:val="single" w:color="999999" w:sz="4"/>
              <w:right w:val="single" w:color="999999" w:sz="4"/>
            </w:tcBorders>
            <w:tcMar>
              <w:top w:type="dxa" w:w="60"/>
              <w:left w:type="dxa" w:w="90"/>
              <w:bottom w:type="dxa" w:w="60"/>
              <w:right w:type="dxa" w:w="90"/>
            </w:tcMar>
            <w:vAlign w:val="top"/>
          </w:tcPr>
          <w:p>
            <w:pPr>
              <w:spacing w:after="40"/>
              <w:jc w:val="left"/>
            </w:pPr>
            <w:r>
              <w:rPr>
                <w:rFonts w:ascii="Calibri" w:cs="Calibri" w:eastAsia="Calibri" w:hAnsi="Calibri"/>
                <w:b w:val="false"/>
                <w:bCs w:val="false"/>
                <w:color w:val="000000"/>
                <w:sz w:val="18"/>
                <w:szCs w:val="18"/>
              </w:rPr>
              <w:t xml:space="preserve">unsure whether the model can be trusted</w:t>
            </w:r>
          </w:p>
        </w:tc>
      </w:tr>
    </w:tbl>
    <w:sectPr>
      <w:footerReference w:type="default" r:id="rId7"/>
      <w:pgSz w:w="11906" w:h="16838" w:orient="portrait"/>
      <w:pgMar w:top="500" w:right="500" w:bottom="5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2026-07-05T08:13:12.323Z</dcterms:created>
  <dcterms:modified xsi:type="dcterms:W3CDTF">2026-07-05T08:13:12.323Z</dcterms:modified>
</cp:coreProperties>
</file>

<file path=docProps/custom.xml><?xml version="1.0" encoding="utf-8"?>
<Properties xmlns="http://schemas.openxmlformats.org/officeDocument/2006/custom-properties" xmlns:vt="http://schemas.openxmlformats.org/officeDocument/2006/docPropsVTypes"/>
</file>