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14 APRIL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widowControl w:val="0"/>
              <w:rPr/>
            </w:pPr>
            <w:r w:rsidDel="00000000" w:rsidR="00000000" w:rsidRPr="00000000">
              <w:rPr>
                <w:rFonts w:ascii="Cambria" w:cs="Cambria" w:eastAsia="Cambria" w:hAnsi="Cambria"/>
                <w:rtl w:val="0"/>
              </w:rPr>
              <w:t xml:space="preserve">SWTID1743516636</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sz w:val="20"/>
                <w:szCs w:val="20"/>
              </w:rPr>
            </w:pPr>
            <w:r w:rsidDel="00000000" w:rsidR="00000000" w:rsidRPr="00000000">
              <w:rPr>
                <w:rFonts w:ascii="Roboto" w:cs="Roboto" w:eastAsia="Roboto" w:hAnsi="Roboto"/>
                <w:sz w:val="20"/>
                <w:szCs w:val="20"/>
                <w:rtl w:val="0"/>
              </w:rPr>
              <w:t xml:space="preserve">SB Food Ordering App</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Proposed Solution :</w:t>
      </w: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Many restaurants and customers face challenges with inefficient food ordering systems, lack of real-time tracking, and fragmented communication. Existing platforms often struggle with poor customization, complex interfaces, and delayed service — reducing overall satisfaction and operational efficiency.</w:t>
            </w:r>
          </w:p>
        </w:tc>
      </w:tr>
      <w:tr>
        <w:trPr>
          <w:cantSplit w:val="0"/>
          <w:trHeight w:val="817" w:hRule="atLeast"/>
          <w:tblHeader w:val="0"/>
        </w:trPr>
        <w:tc>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SB Foods Ordering App is a full-featured, user-friendly web application that enables restaurants to manage menus and orders in real-time, customers to browse and customize meals easily, and delivery teams to streamline logistics — all within a seamless and intuitive food ordering ecosystem.</w:t>
            </w:r>
          </w:p>
        </w:tc>
      </w:tr>
      <w:tr>
        <w:trPr>
          <w:cantSplit w:val="0"/>
          <w:trHeight w:val="787" w:hRule="atLeast"/>
          <w:tblHeader w:val="0"/>
        </w:trPr>
        <w:tc>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spacing w:after="200" w:line="276" w:lineRule="auto"/>
              <w:rPr/>
            </w:pPr>
            <w:r w:rsidDel="00000000" w:rsidR="00000000" w:rsidRPr="00000000">
              <w:rPr>
                <w:rFonts w:ascii="Cambria" w:cs="Cambria" w:eastAsia="Cambria" w:hAnsi="Cambria"/>
                <w:rtl w:val="0"/>
              </w:rPr>
              <w:t xml:space="preserve">Unlike typical food ordering solutions, this platform integrates real-time order tracking, customizable menus, multilingual support, and role-based access — all built on the robust MERN stack. It supports secure payments, live updates, and centralized  management, allowing cost-effective scaling for restaurants and consistent satisfaction for customers</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platform boosts accessibility to quality food services, especially for small and mid-sized restaurants, while delivering a smooth and reliable experience for customers. It empowers local businesses to grow digitally without high tech barriers — fostering greater community engagement and customer loyalty.</w:t>
            </w:r>
          </w:p>
        </w:tc>
      </w:tr>
      <w:tr>
        <w:trPr>
          <w:cantSplit w:val="0"/>
          <w:trHeight w:val="817" w:hRule="atLeast"/>
          <w:tblHeader w:val="0"/>
        </w:trPr>
        <w:tc>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revenue streams include: (a) commission on each order placed through the platform, (b) subscription plans for restaurants with premium features like advanced analytics, branded storefronts, and promotional tools, (c) featured listing or advertisement slots within the app for partner restaurants, and (d) delivery service fees where applicable.</w:t>
            </w:r>
          </w:p>
        </w:tc>
      </w:tr>
      <w:tr>
        <w:trPr>
          <w:cantSplit w:val="0"/>
          <w:trHeight w:val="817" w:hRule="atLeast"/>
          <w:tblHeader w:val="0"/>
        </w:trPr>
        <w:tc>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spacing w:after="200" w:line="276" w:lineRule="auto"/>
              <w:rPr/>
            </w:pPr>
            <w:r w:rsidDel="00000000" w:rsidR="00000000" w:rsidRPr="00000000">
              <w:rPr>
                <w:rFonts w:ascii="Cambria" w:cs="Cambria" w:eastAsia="Cambria" w:hAnsi="Cambria"/>
                <w:rtl w:val="0"/>
              </w:rPr>
              <w:t xml:space="preserve">The MERN stack architecture ensures modular, scalable deployment. The platform can easily support onboarding of multiple restaurants, concurrent user activity, and cross-regional expansion with multilingual and multi-currency support. Cloud-based infrastructure ensures elasticity to meet growing user demand and evolving features.</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