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0" w:lineRule="auto"/>
        <w:jc w:val="center"/>
        <w:rPr>
          <w:b w:val="1"/>
          <w:sz w:val="28"/>
          <w:szCs w:val="28"/>
        </w:rPr>
      </w:pPr>
      <w:r w:rsidDel="00000000" w:rsidR="00000000" w:rsidRPr="00000000">
        <w:rPr>
          <w:b w:val="1"/>
          <w:sz w:val="28"/>
          <w:szCs w:val="28"/>
          <w:rtl w:val="0"/>
        </w:rPr>
        <w:t xml:space="preserve">Ideation Phase</w:t>
      </w:r>
    </w:p>
    <w:p w:rsidR="00000000" w:rsidDel="00000000" w:rsidP="00000000" w:rsidRDefault="00000000" w:rsidRPr="00000000" w14:paraId="00000002">
      <w:pPr>
        <w:spacing w:after="0" w:lineRule="auto"/>
        <w:jc w:val="center"/>
        <w:rPr>
          <w:b w:val="1"/>
          <w:sz w:val="28"/>
          <w:szCs w:val="28"/>
        </w:rPr>
      </w:pPr>
      <w:r w:rsidDel="00000000" w:rsidR="00000000" w:rsidRPr="00000000">
        <w:rPr>
          <w:b w:val="1"/>
          <w:sz w:val="28"/>
          <w:szCs w:val="28"/>
          <w:rtl w:val="0"/>
        </w:rPr>
        <w:t xml:space="preserve">Empathize &amp; Discover</w:t>
      </w:r>
    </w:p>
    <w:p w:rsidR="00000000" w:rsidDel="00000000" w:rsidP="00000000" w:rsidRDefault="00000000" w:rsidRPr="00000000" w14:paraId="00000003">
      <w:pPr>
        <w:spacing w:after="0" w:lineRule="auto"/>
        <w:jc w:val="center"/>
        <w:rPr>
          <w:b w:val="1"/>
          <w:sz w:val="28"/>
          <w:szCs w:val="28"/>
        </w:rPr>
      </w:pPr>
      <w:r w:rsidDel="00000000" w:rsidR="00000000" w:rsidRPr="00000000">
        <w:rPr>
          <w:rtl w:val="0"/>
        </w:rPr>
      </w:r>
    </w:p>
    <w:tbl>
      <w:tblPr>
        <w:tblStyle w:val="Table1"/>
        <w:tblW w:w="901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508"/>
        <w:gridCol w:w="4508"/>
        <w:tblGridChange w:id="0">
          <w:tblGrid>
            <w:gridCol w:w="4508"/>
            <w:gridCol w:w="4508"/>
          </w:tblGrid>
        </w:tblGridChange>
      </w:tblGrid>
      <w:tr>
        <w:trPr>
          <w:cantSplit w:val="0"/>
          <w:tblHeader w:val="0"/>
        </w:trPr>
        <w:tc>
          <w:tcPr/>
          <w:p w:rsidR="00000000" w:rsidDel="00000000" w:rsidP="00000000" w:rsidRDefault="00000000" w:rsidRPr="00000000" w14:paraId="00000004">
            <w:pPr>
              <w:rPr/>
            </w:pPr>
            <w:r w:rsidDel="00000000" w:rsidR="00000000" w:rsidRPr="00000000">
              <w:rPr>
                <w:rtl w:val="0"/>
              </w:rPr>
              <w:t xml:space="preserve">Date</w:t>
            </w:r>
          </w:p>
        </w:tc>
        <w:tc>
          <w:tcPr/>
          <w:p w:rsidR="00000000" w:rsidDel="00000000" w:rsidP="00000000" w:rsidRDefault="00000000" w:rsidRPr="00000000" w14:paraId="00000005">
            <w:pPr>
              <w:rPr/>
            </w:pPr>
            <w:r w:rsidDel="00000000" w:rsidR="00000000" w:rsidRPr="00000000">
              <w:rPr>
                <w:rtl w:val="0"/>
              </w:rPr>
              <w:t xml:space="preserve">12 April 2025</w:t>
            </w:r>
          </w:p>
        </w:tc>
      </w:tr>
      <w:tr>
        <w:trPr>
          <w:cantSplit w:val="0"/>
          <w:tblHeader w:val="0"/>
        </w:trPr>
        <w:tc>
          <w:tcPr/>
          <w:p w:rsidR="00000000" w:rsidDel="00000000" w:rsidP="00000000" w:rsidRDefault="00000000" w:rsidRPr="00000000" w14:paraId="00000006">
            <w:pPr>
              <w:rPr/>
            </w:pPr>
            <w:r w:rsidDel="00000000" w:rsidR="00000000" w:rsidRPr="00000000">
              <w:rPr>
                <w:rtl w:val="0"/>
              </w:rPr>
              <w:t xml:space="preserve">Team ID</w:t>
            </w:r>
          </w:p>
        </w:tc>
        <w:tc>
          <w:tcPr/>
          <w:p w:rsidR="00000000" w:rsidDel="00000000" w:rsidP="00000000" w:rsidRDefault="00000000" w:rsidRPr="00000000" w14:paraId="00000007">
            <w:pPr>
              <w:rPr/>
            </w:pPr>
            <w:r w:rsidDel="00000000" w:rsidR="00000000" w:rsidRPr="00000000">
              <w:rPr>
                <w:rtl w:val="0"/>
              </w:rPr>
              <w:t xml:space="preserve">SWTID1743516636</w:t>
            </w:r>
          </w:p>
        </w:tc>
      </w:tr>
      <w:tr>
        <w:trPr>
          <w:cantSplit w:val="0"/>
          <w:tblHeader w:val="0"/>
        </w:trPr>
        <w:tc>
          <w:tcPr/>
          <w:p w:rsidR="00000000" w:rsidDel="00000000" w:rsidP="00000000" w:rsidRDefault="00000000" w:rsidRPr="00000000" w14:paraId="00000008">
            <w:pPr>
              <w:rPr/>
            </w:pPr>
            <w:r w:rsidDel="00000000" w:rsidR="00000000" w:rsidRPr="00000000">
              <w:rPr>
                <w:rtl w:val="0"/>
              </w:rPr>
              <w:t xml:space="preserve">Project Name</w:t>
            </w:r>
          </w:p>
        </w:tc>
        <w:tc>
          <w:tcPr/>
          <w:p w:rsidR="00000000" w:rsidDel="00000000" w:rsidP="00000000" w:rsidRDefault="00000000" w:rsidRPr="00000000" w14:paraId="00000009">
            <w:pPr>
              <w:rPr/>
            </w:pPr>
            <w:r w:rsidDel="00000000" w:rsidR="00000000" w:rsidRPr="00000000">
              <w:rPr>
                <w:rtl w:val="0"/>
              </w:rPr>
              <w:t xml:space="preserve">SB Food Ordering App</w:t>
            </w:r>
          </w:p>
        </w:tc>
      </w:tr>
      <w:tr>
        <w:trPr>
          <w:cantSplit w:val="0"/>
          <w:tblHeader w:val="0"/>
        </w:trPr>
        <w:tc>
          <w:tcPr/>
          <w:p w:rsidR="00000000" w:rsidDel="00000000" w:rsidP="00000000" w:rsidRDefault="00000000" w:rsidRPr="00000000" w14:paraId="0000000A">
            <w:pPr>
              <w:rPr/>
            </w:pPr>
            <w:r w:rsidDel="00000000" w:rsidR="00000000" w:rsidRPr="00000000">
              <w:rPr>
                <w:rtl w:val="0"/>
              </w:rPr>
              <w:t xml:space="preserve">Maximum Marks</w:t>
            </w:r>
          </w:p>
        </w:tc>
        <w:tc>
          <w:tcPr/>
          <w:p w:rsidR="00000000" w:rsidDel="00000000" w:rsidP="00000000" w:rsidRDefault="00000000" w:rsidRPr="00000000" w14:paraId="0000000B">
            <w:pPr>
              <w:rPr/>
            </w:pPr>
            <w:r w:rsidDel="00000000" w:rsidR="00000000" w:rsidRPr="00000000">
              <w:rPr>
                <w:rtl w:val="0"/>
              </w:rPr>
              <w:t xml:space="preserve">4 Marks</w:t>
            </w:r>
          </w:p>
        </w:tc>
      </w:tr>
    </w:tbl>
    <w:p w:rsidR="00000000" w:rsidDel="00000000" w:rsidP="00000000" w:rsidRDefault="00000000" w:rsidRPr="00000000" w14:paraId="0000000C">
      <w:pPr>
        <w:rPr>
          <w:b w:val="1"/>
          <w:sz w:val="24"/>
          <w:szCs w:val="24"/>
        </w:rPr>
      </w:pPr>
      <w:r w:rsidDel="00000000" w:rsidR="00000000" w:rsidRPr="00000000">
        <w:rPr>
          <w:rtl w:val="0"/>
        </w:rPr>
      </w:r>
    </w:p>
    <w:p w:rsidR="00000000" w:rsidDel="00000000" w:rsidP="00000000" w:rsidRDefault="00000000" w:rsidRPr="00000000" w14:paraId="0000000D">
      <w:pPr>
        <w:rPr>
          <w:b w:val="1"/>
          <w:sz w:val="24"/>
          <w:szCs w:val="24"/>
        </w:rPr>
      </w:pPr>
      <w:r w:rsidDel="00000000" w:rsidR="00000000" w:rsidRPr="00000000">
        <w:rPr>
          <w:b w:val="1"/>
          <w:sz w:val="24"/>
          <w:szCs w:val="24"/>
          <w:rtl w:val="0"/>
        </w:rPr>
        <w:t xml:space="preserve">Empathy Map Canvas:</w:t>
      </w:r>
    </w:p>
    <w:p w:rsidR="00000000" w:rsidDel="00000000" w:rsidP="00000000" w:rsidRDefault="00000000" w:rsidRPr="00000000" w14:paraId="0000000E">
      <w:pPr>
        <w:spacing w:after="240" w:before="240" w:lineRule="auto"/>
        <w:jc w:val="both"/>
        <w:rPr>
          <w:color w:val="2a2a2a"/>
          <w:sz w:val="24"/>
          <w:szCs w:val="24"/>
        </w:rPr>
      </w:pPr>
      <w:r w:rsidDel="00000000" w:rsidR="00000000" w:rsidRPr="00000000">
        <w:rPr>
          <w:color w:val="2a2a2a"/>
          <w:sz w:val="24"/>
          <w:szCs w:val="24"/>
          <w:rtl w:val="0"/>
        </w:rPr>
        <w:t xml:space="preserve">An empathy map is a simple, easy-to-digest visual that captures knowledge about a user's behaviors and attitudes.</w:t>
      </w:r>
    </w:p>
    <w:p w:rsidR="00000000" w:rsidDel="00000000" w:rsidP="00000000" w:rsidRDefault="00000000" w:rsidRPr="00000000" w14:paraId="0000000F">
      <w:pPr>
        <w:spacing w:after="240" w:before="240" w:lineRule="auto"/>
        <w:jc w:val="both"/>
        <w:rPr>
          <w:color w:val="2a2a2a"/>
          <w:sz w:val="24"/>
          <w:szCs w:val="24"/>
        </w:rPr>
      </w:pPr>
      <w:r w:rsidDel="00000000" w:rsidR="00000000" w:rsidRPr="00000000">
        <w:rPr>
          <w:color w:val="2a2a2a"/>
          <w:sz w:val="24"/>
          <w:szCs w:val="24"/>
          <w:rtl w:val="0"/>
        </w:rPr>
        <w:t xml:space="preserve">It is a useful tool to help teams better understand their users.</w:t>
        <w:br w:type="textWrapping"/>
        <w:t xml:space="preserve"> Creating an effective solution requires understanding the real problem and the person experiencing it. The empathy map helps you step into your user's shoes and understand their feelings, goals, and frustrations.</w:t>
      </w:r>
    </w:p>
    <w:p w:rsidR="00000000" w:rsidDel="00000000" w:rsidP="00000000" w:rsidRDefault="00000000" w:rsidRPr="00000000" w14:paraId="00000010">
      <w:pPr>
        <w:jc w:val="both"/>
        <w:rPr>
          <w:b w:val="1"/>
          <w:color w:val="2a2a2a"/>
          <w:sz w:val="24"/>
          <w:szCs w:val="24"/>
        </w:rPr>
      </w:pPr>
      <w:r w:rsidDel="00000000" w:rsidR="00000000" w:rsidRPr="00000000">
        <w:rPr>
          <w:b w:val="1"/>
          <w:color w:val="2a2a2a"/>
          <w:sz w:val="24"/>
          <w:szCs w:val="24"/>
          <w:rtl w:val="0"/>
        </w:rPr>
        <w:t xml:space="preserve">Example:</w:t>
      </w:r>
    </w:p>
    <w:p w:rsidR="00000000" w:rsidDel="00000000" w:rsidP="00000000" w:rsidRDefault="00000000" w:rsidRPr="00000000" w14:paraId="00000011">
      <w:pPr>
        <w:pStyle w:val="Heading2"/>
        <w:spacing w:after="0" w:before="200" w:line="276" w:lineRule="auto"/>
        <w:rPr>
          <w:sz w:val="24"/>
          <w:szCs w:val="24"/>
        </w:rPr>
      </w:pPr>
      <w:bookmarkStart w:colFirst="0" w:colLast="0" w:name="_x6vioatfabfr" w:id="0"/>
      <w:bookmarkEnd w:id="0"/>
      <w:r w:rsidDel="00000000" w:rsidR="00000000" w:rsidRPr="00000000">
        <w:rPr>
          <w:color w:val="4f81bd"/>
          <w:sz w:val="26"/>
          <w:szCs w:val="26"/>
        </w:rPr>
        <w:drawing>
          <wp:inline distB="114300" distT="114300" distL="114300" distR="114300">
            <wp:extent cx="4881563" cy="4838700"/>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4881563" cy="4838700"/>
                    </a:xfrm>
                    <a:prstGeom prst="rect"/>
                    <a:ln/>
                  </pic:spPr>
                </pic:pic>
              </a:graphicData>
            </a:graphic>
          </wp:inline>
        </w:drawing>
      </w:r>
      <w:r w:rsidDel="00000000" w:rsidR="00000000" w:rsidRPr="00000000">
        <w:rPr>
          <w:rtl w:val="0"/>
        </w:rPr>
      </w:r>
    </w:p>
    <w:sectPr>
      <w:pgSz w:h="16838" w:w="11906" w:orient="portrait"/>
      <w:pgMar w:bottom="1440" w:top="851"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IN"/>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