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240" w:after="80"/>
        <w:jc w:val="center"/>
      </w:pPr>
      <w:r>
        <w:rPr>
          <w:rFonts w:ascii="Times New Roman" w:hAnsi="Times New Roman"/>
          <w:b/>
          <w:color w:val="0D47A1"/>
          <w:sz w:val="40"/>
        </w:rPr>
        <w:t>USER MANUAL &amp; PROTOCOL:</w:t>
        <w:br/>
        <w:t>GENERALIZED VIRAL PHYLOGENOMICS &amp; SEQUENCE IDENTITY VISUALIZATION PIPELINE</w:t>
      </w:r>
    </w:p>
    <w:p>
      <w:pPr>
        <w:spacing w:line="288" w:lineRule="auto" w:before="0" w:after="360"/>
        <w:jc w:val="center"/>
      </w:pPr>
      <w:r>
        <w:rPr>
          <w:rFonts w:ascii="Times New Roman" w:hAnsi="Times New Roman"/>
          <w:i/>
          <w:color w:val="37474F"/>
          <w:sz w:val="26"/>
        </w:rPr>
        <w:t>A Comprehensive Step-by-Step Guide for Generating Publication-Grade Phylogenetic Trees, Stepped SDT Identity Matrices, Polar Cladograms, and Multi-Format Vector Graphics</w:t>
      </w:r>
    </w:p>
    <w:tbl>
      <w:tblPr>
        <w:tblW w:type="auto" w:w="0"/>
        <w:jc w:val="center"/>
        <w:tblLook w:firstColumn="1" w:firstRow="1" w:lastColumn="0" w:lastRow="0" w:noHBand="0" w:noVBand="1" w:val="04A0"/>
      </w:tblPr>
      <w:tblGrid>
        <w:gridCol w:w="4680"/>
        <w:gridCol w:w="4680"/>
      </w:tblGrid>
      <w:tr>
        <w:tc>
          <w:tcPr>
            <w:tcW w:type="dxa" w:w="4680"/>
            <w:shd w:fill="EBF3FA"/>
            <w:tcMar>
              <w:top w:w="80" w:type="dxa"/>
              <w:bottom w:w="80" w:type="dxa"/>
              <w:left w:w="120" w:type="dxa"/>
              <w:right w:w="120" w:type="dxa"/>
            </w:tcMar>
          </w:tcPr>
          <w:p>
            <w:pPr>
              <w:spacing w:line="276" w:lineRule="auto"/>
              <w:jc w:val="left"/>
            </w:pPr>
            <w:r>
              <w:rPr>
                <w:rFonts w:ascii="Times New Roman" w:hAnsi="Times New Roman"/>
                <w:b/>
                <w:sz w:val="21"/>
              </w:rPr>
              <w:t>Skill Identifier</w:t>
            </w:r>
          </w:p>
        </w:tc>
        <w:tc>
          <w:tcPr>
            <w:tcW w:type="dxa" w:w="4680"/>
            <w:shd w:fill="FAFCFE"/>
            <w:tcMar>
              <w:top w:w="80" w:type="dxa"/>
              <w:bottom w:w="80" w:type="dxa"/>
              <w:left w:w="120" w:type="dxa"/>
              <w:right w:w="120" w:type="dxa"/>
            </w:tcMar>
          </w:tcPr>
          <w:p>
            <w:pPr>
              <w:spacing w:line="276" w:lineRule="auto"/>
              <w:jc w:val="left"/>
            </w:pPr>
            <w:r>
              <w:rPr>
                <w:rFonts w:ascii="Times New Roman" w:hAnsi="Times New Roman"/>
                <w:sz w:val="21"/>
              </w:rPr>
              <w:t>viral-phylogenomics-visualizer</w:t>
            </w:r>
          </w:p>
        </w:tc>
      </w:tr>
      <w:tr>
        <w:tc>
          <w:tcPr>
            <w:tcW w:type="dxa" w:w="4680"/>
            <w:shd w:fill="EBF3FA"/>
            <w:tcMar>
              <w:top w:w="80" w:type="dxa"/>
              <w:bottom w:w="80" w:type="dxa"/>
              <w:left w:w="120" w:type="dxa"/>
              <w:right w:w="120" w:type="dxa"/>
            </w:tcMar>
          </w:tcPr>
          <w:p>
            <w:pPr>
              <w:spacing w:line="276" w:lineRule="auto"/>
              <w:jc w:val="left"/>
            </w:pPr>
            <w:r>
              <w:rPr>
                <w:rFonts w:ascii="Times New Roman" w:hAnsi="Times New Roman"/>
                <w:b/>
                <w:sz w:val="21"/>
              </w:rPr>
              <w:t>Supported Datasets</w:t>
            </w:r>
          </w:p>
        </w:tc>
        <w:tc>
          <w:tcPr>
            <w:tcW w:type="dxa" w:w="4680"/>
            <w:shd w:fill="FAFCFE"/>
            <w:tcMar>
              <w:top w:w="80" w:type="dxa"/>
              <w:bottom w:w="80" w:type="dxa"/>
              <w:left w:w="120" w:type="dxa"/>
              <w:right w:w="120" w:type="dxa"/>
            </w:tcMar>
          </w:tcPr>
          <w:p>
            <w:pPr>
              <w:spacing w:line="276" w:lineRule="auto"/>
              <w:jc w:val="left"/>
            </w:pPr>
            <w:r>
              <w:rPr>
                <w:rFonts w:ascii="Times New Roman" w:hAnsi="Times New Roman"/>
                <w:sz w:val="21"/>
              </w:rPr>
              <w:t>Any nucleotide or amino acid FASTA sequence dataset (Viral, Microbial, Plant, Animal)</w:t>
            </w:r>
          </w:p>
        </w:tc>
      </w:tr>
      <w:tr>
        <w:tc>
          <w:tcPr>
            <w:tcW w:type="dxa" w:w="4680"/>
            <w:shd w:fill="EBF3FA"/>
            <w:tcMar>
              <w:top w:w="80" w:type="dxa"/>
              <w:bottom w:w="80" w:type="dxa"/>
              <w:left w:w="120" w:type="dxa"/>
              <w:right w:w="120" w:type="dxa"/>
            </w:tcMar>
          </w:tcPr>
          <w:p>
            <w:pPr>
              <w:spacing w:line="276" w:lineRule="auto"/>
              <w:jc w:val="left"/>
            </w:pPr>
            <w:r>
              <w:rPr>
                <w:rFonts w:ascii="Times New Roman" w:hAnsi="Times New Roman"/>
                <w:b/>
                <w:sz w:val="21"/>
              </w:rPr>
              <w:t>Export Formats</w:t>
            </w:r>
          </w:p>
        </w:tc>
        <w:tc>
          <w:tcPr>
            <w:tcW w:type="dxa" w:w="4680"/>
            <w:shd w:fill="FAFCFE"/>
            <w:tcMar>
              <w:top w:w="80" w:type="dxa"/>
              <w:bottom w:w="80" w:type="dxa"/>
              <w:left w:w="120" w:type="dxa"/>
              <w:right w:w="120" w:type="dxa"/>
            </w:tcMar>
          </w:tcPr>
          <w:p>
            <w:pPr>
              <w:spacing w:line="276" w:lineRule="auto"/>
              <w:jc w:val="left"/>
            </w:pPr>
            <w:r>
              <w:rPr>
                <w:rFonts w:ascii="Times New Roman" w:hAnsi="Times New Roman"/>
                <w:sz w:val="21"/>
              </w:rPr>
              <w:t>Vector EMF, High-Resolution PNG (300 DPI), Print TIFF (300/960 DPI), Vector PDF</w:t>
            </w:r>
          </w:p>
        </w:tc>
      </w:tr>
      <w:tr>
        <w:tc>
          <w:tcPr>
            <w:tcW w:type="dxa" w:w="4680"/>
            <w:shd w:fill="EBF3FA"/>
            <w:tcMar>
              <w:top w:w="80" w:type="dxa"/>
              <w:bottom w:w="80" w:type="dxa"/>
              <w:left w:w="120" w:type="dxa"/>
              <w:right w:w="120" w:type="dxa"/>
            </w:tcMar>
          </w:tcPr>
          <w:p>
            <w:pPr>
              <w:spacing w:line="276" w:lineRule="auto"/>
              <w:jc w:val="left"/>
            </w:pPr>
            <w:r>
              <w:rPr>
                <w:rFonts w:ascii="Times New Roman" w:hAnsi="Times New Roman"/>
                <w:b/>
                <w:sz w:val="21"/>
              </w:rPr>
              <w:t>Primary Architecture</w:t>
            </w:r>
          </w:p>
        </w:tc>
        <w:tc>
          <w:tcPr>
            <w:tcW w:type="dxa" w:w="4680"/>
            <w:shd w:fill="FAFCFE"/>
            <w:tcMar>
              <w:top w:w="80" w:type="dxa"/>
              <w:bottom w:w="80" w:type="dxa"/>
              <w:left w:w="120" w:type="dxa"/>
              <w:right w:w="120" w:type="dxa"/>
            </w:tcMar>
          </w:tcPr>
          <w:p>
            <w:pPr>
              <w:spacing w:line="276" w:lineRule="auto"/>
              <w:jc w:val="left"/>
            </w:pPr>
            <w:r>
              <w:rPr>
                <w:rFonts w:ascii="Times New Roman" w:hAnsi="Times New Roman"/>
                <w:sz w:val="21"/>
              </w:rPr>
              <w:t>Universal (macOS Apple Silicon ARM64, Intel x86_64, Linux, and Windows)</w:t>
            </w:r>
          </w:p>
        </w:tc>
      </w:tr>
    </w:tbl>
    <w:p>
      <w:pPr>
        <w:spacing w:after="160"/>
      </w:pPr>
    </w:p>
    <w:p>
      <w:pPr>
        <w:spacing w:line="312" w:lineRule="auto" w:before="320" w:after="120"/>
        <w:jc w:val="left"/>
      </w:pPr>
      <w:r>
        <w:rPr>
          <w:rFonts w:ascii="Times New Roman" w:hAnsi="Times New Roman"/>
          <w:b/>
          <w:color w:val="0D47A1"/>
          <w:sz w:val="30"/>
        </w:rPr>
        <w:t>1. Introduction and Architectural Overview</w:t>
      </w:r>
    </w:p>
    <w:p>
      <w:pPr>
        <w:spacing w:line="360" w:lineRule="auto" w:after="120"/>
        <w:jc w:val="both"/>
      </w:pPr>
      <w:r>
        <w:rPr>
          <w:rFonts w:ascii="Times New Roman" w:hAnsi="Times New Roman"/>
          <w:sz w:val="24"/>
        </w:rPr>
        <w:t>Comparative genomics and molecular phylogenetics represent indispensable methodologies in modern virology, microbiology, and evolutionary biology. However, transforming raw sequence alignments into publication-standard figures often requires navigating multiple disparate standalone programs. Researchers traditionally rely on tools such as SDT (Sequence Demarcation Tool) for pairwise identity heatmaps, IQ-TREE or MEGA for maximum-likelihood tree inference, and specialized vector graphics editors for post-hoc formatting. This disjointed workflow frequently introduces formatting inconsistencies, illegible labels, overlapping legends, and loss of resolution during file conversion.</w:t>
      </w:r>
    </w:p>
    <w:p>
      <w:pPr>
        <w:spacing w:line="360" w:lineRule="auto" w:after="120"/>
        <w:jc w:val="both"/>
      </w:pPr>
      <w:r>
        <w:rPr>
          <w:rFonts w:ascii="Times New Roman" w:hAnsi="Times New Roman"/>
          <w:sz w:val="24"/>
        </w:rPr>
        <w:t>The Generalized Viral Phylogenomics &amp; Identity Visualization Skill provides an end-to-end, automated computational pipeline designed to eliminate these barriers. By combining robust algorithmic alignment, state-of-the-art phylogenetic modeling, and high-performance vector rendering engines, the pipeline processes any raw sequence file (nucleotide or protein) and outputs an exhaustive suite of publication-grade visual assets.</w:t>
      </w:r>
    </w:p>
    <w:p>
      <w:pPr>
        <w:spacing w:line="360" w:lineRule="auto" w:after="120"/>
        <w:jc w:val="both"/>
      </w:pPr>
      <w:r>
        <w:rPr>
          <w:rFonts w:ascii="Times New Roman" w:hAnsi="Times New Roman"/>
          <w:sz w:val="24"/>
        </w:rPr>
        <w:t>The pipeline is engineered to satisfy the rigorous visual and resolution standards of top-tier academic journals (such as Nature Microbiology, Phytopathology, Virology, and Journal of General Virology). It operates autonomously across both single-gene investigations and complex multi-gene dual-panel comparative studies.</w:t>
      </w:r>
    </w:p>
    <w:p>
      <w:pPr>
        <w:spacing w:line="312" w:lineRule="auto" w:before="320" w:after="120"/>
        <w:jc w:val="left"/>
      </w:pPr>
      <w:r>
        <w:rPr>
          <w:rFonts w:ascii="Times New Roman" w:hAnsi="Times New Roman"/>
          <w:b/>
          <w:color w:val="0D47A1"/>
          <w:sz w:val="30"/>
        </w:rPr>
        <w:t>2. Core Visual Portfolio &amp; Publication Benchmarks</w:t>
      </w:r>
    </w:p>
    <w:p>
      <w:pPr>
        <w:spacing w:line="360" w:lineRule="auto" w:after="120"/>
        <w:jc w:val="both"/>
      </w:pPr>
      <w:r>
        <w:rPr>
          <w:rFonts w:ascii="Times New Roman" w:hAnsi="Times New Roman"/>
          <w:sz w:val="24"/>
        </w:rPr>
        <w:t>The visualizer generates five specialized visual modalities, each tailored to convey specific biological insights while maintaining flawless visual ergonomics:</w:t>
      </w:r>
    </w:p>
    <w:p>
      <w:pPr>
        <w:pStyle w:val="ListBullet"/>
        <w:spacing w:line="360" w:lineRule="auto" w:after="80"/>
        <w:jc w:val="both"/>
      </w:pPr>
      <w:r>
        <w:rPr>
          <w:rFonts w:ascii="Times New Roman" w:hAnsi="Times New Roman"/>
          <w:b/>
          <w:sz w:val="24"/>
        </w:rPr>
        <w:t>1. Stepped SDT Matrix:</w:t>
      </w:r>
      <w:r>
        <w:rPr>
          <w:rFonts w:ascii="Times New Roman" w:hAnsi="Times New Roman"/>
          <w:sz w:val="24"/>
        </w:rPr>
        <w:t xml:space="preserve"> Pure Lower-Triangular Stepped SDT Identity Matrix: Generates an authentic stepped staircase matrix replicating the official SDT v1.2 software interface (Muhire et al., 2014). The upper triangle remains crisp white, eliminating visual clutter. An official SDT rainbow gradient colorbar (spanning navy, blue, cyan, green, yellow, orange, and deep maroon) is cleanly inset into the upper-right quadrant. Dashed diagonal demarcations clearly partition discrete phylogenetic genogroups, and taxon labels remain strictly flush against the active matrix perimeter.</w:t>
      </w:r>
    </w:p>
    <w:p>
      <w:pPr>
        <w:pStyle w:val="ListBullet"/>
        <w:spacing w:line="360" w:lineRule="auto" w:after="80"/>
        <w:jc w:val="both"/>
      </w:pPr>
      <w:r>
        <w:rPr>
          <w:rFonts w:ascii="Times New Roman" w:hAnsi="Times New Roman"/>
          <w:b/>
          <w:sz w:val="24"/>
        </w:rPr>
        <w:t>2. Linear ML Tree:</w:t>
      </w:r>
      <w:r>
        <w:rPr>
          <w:rFonts w:ascii="Times New Roman" w:hAnsi="Times New Roman"/>
          <w:sz w:val="24"/>
        </w:rPr>
        <w:t xml:space="preserve"> Midpoint-Rooted Linear Maximum-Likelihood (ML) Phylogeny: Inferred using IQ-TREE with ultrafast bootstrap approximation (1,000 replicates) and midpoint rooting. Ladderized branching topology ensures clean evolutionary presentation. Features include branch bootstrap percentages, a calibrated genetic distance scale bar, horizontal leader guide lines, and visual badges distinguishing study isolates from reference genomes.</w:t>
      </w:r>
    </w:p>
    <w:p>
      <w:pPr>
        <w:pStyle w:val="ListBullet"/>
        <w:spacing w:line="360" w:lineRule="auto" w:after="80"/>
        <w:jc w:val="both"/>
      </w:pPr>
      <w:r>
        <w:rPr>
          <w:rFonts w:ascii="Times New Roman" w:hAnsi="Times New Roman"/>
          <w:b/>
          <w:sz w:val="24"/>
        </w:rPr>
        <w:t>3. Polar Circular Cladogram:</w:t>
      </w:r>
      <w:r>
        <w:rPr>
          <w:rFonts w:ascii="Times New Roman" w:hAnsi="Times New Roman"/>
          <w:sz w:val="24"/>
        </w:rPr>
        <w:t xml:space="preserve"> Polar Circular Cladogram with Concentric Metadata Rings: Projects phylogenetic trees onto a calibrated polar angular fan (15° to 345°). Surrounding concentric metadata tracks display host species, geographic provenance, and pathotype severity. Crucially, all legend elements are isolated within an independent non-overlapping canvas band at the bottom, completely preventing collision with tree branches or radial leaf labels.</w:t>
      </w:r>
    </w:p>
    <w:p>
      <w:pPr>
        <w:pStyle w:val="ListBullet"/>
        <w:spacing w:line="360" w:lineRule="auto" w:after="80"/>
        <w:jc w:val="both"/>
      </w:pPr>
      <w:r>
        <w:rPr>
          <w:rFonts w:ascii="Times New Roman" w:hAnsi="Times New Roman"/>
          <w:b/>
          <w:sz w:val="24"/>
        </w:rPr>
        <w:t>4. Square SDT Heatmap:</w:t>
      </w:r>
      <w:r>
        <w:rPr>
          <w:rFonts w:ascii="Times New Roman" w:hAnsi="Times New Roman"/>
          <w:sz w:val="24"/>
        </w:rPr>
        <w:t xml:space="preserve"> High-Resolution Square Identity Heatmap: An all-against-all symmetric pairwise matrix ordered according to phylogenetic leaf traversal, providing a comprehensive pairwise identity landscape.</w:t>
      </w:r>
    </w:p>
    <w:p>
      <w:pPr>
        <w:pStyle w:val="ListBullet"/>
        <w:spacing w:line="360" w:lineRule="auto" w:after="80"/>
        <w:jc w:val="both"/>
      </w:pPr>
      <w:r>
        <w:rPr>
          <w:rFonts w:ascii="Times New Roman" w:hAnsi="Times New Roman"/>
          <w:b/>
          <w:sz w:val="24"/>
        </w:rPr>
        <w:t>5. Combined Dual-Panel Figures:</w:t>
      </w:r>
      <w:r>
        <w:rPr>
          <w:rFonts w:ascii="Times New Roman" w:hAnsi="Times New Roman"/>
          <w:sz w:val="24"/>
        </w:rPr>
        <w:t xml:space="preserve"> Combined Dual-Panel Publication Figures: Integrates linear evolutionary trees (Panel a) and stepped SDT identity matrices (Panel b) onto unified high-impact composite plates with publication brackets and subtitles.</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180" w:type="dxa"/>
              <w:right w:w="180" w:type="dxa"/>
            </w:tcMar>
          </w:tcPr>
          <w:p>
            <w:pPr>
              <w:spacing w:line="288" w:lineRule="auto"/>
              <w:jc w:val="left"/>
            </w:pPr>
            <w:r>
              <w:rPr>
                <w:rFonts w:ascii="Times New Roman" w:hAnsi="Times New Roman"/>
                <w:b/>
                <w:color w:val="0D47A1"/>
                <w:sz w:val="22"/>
              </w:rPr>
              <w:t>Schematic Architecture: Stepped SDT Pairwise Identity Matrix Layout</w:t>
              <w:br/>
            </w:r>
            <w:r>
              <w:rPr>
                <w:rFonts w:ascii="Times New Roman" w:hAnsi="Times New Roman"/>
                <w:i/>
                <w:sz w:val="21"/>
              </w:rPr>
              <w:t xml:space="preserve">  • Geometry: Active lower-triangular staircase cells (row &gt;= col); upper triangle is blank white.</w:t>
              <w:br/>
            </w:r>
            <w:r>
              <w:rPr>
                <w:rFonts w:ascii="Times New Roman" w:hAnsi="Times New Roman"/>
                <w:i/>
                <w:sz w:val="21"/>
              </w:rPr>
              <w:t xml:space="preserve">  • Color Palette: Standard SDT v1.2 Rainbow Spectrum (Navy -&gt; Blue -&gt; Cyan -&gt; Green -&gt; Yellow -&gt; Orange -&gt; Crimson).</w:t>
              <w:br/>
            </w:r>
            <w:r>
              <w:rPr>
                <w:rFonts w:ascii="Times New Roman" w:hAnsi="Times New Roman"/>
                <w:i/>
                <w:sz w:val="21"/>
              </w:rPr>
              <w:t xml:space="preserve">  • Colorbar Position: Inset in the upper-right empty quadrant ([0.56, 0.78, 0.36, 0.035]).</w:t>
              <w:br/>
            </w:r>
            <w:r>
              <w:rPr>
                <w:rFonts w:ascii="Times New Roman" w:hAnsi="Times New Roman"/>
                <w:i/>
                <w:sz w:val="21"/>
              </w:rPr>
              <w:t xml:space="preserve">  • Demarcation: Dashed diagonal grid lines demarcating discrete genogroup boundaries.</w:t>
              <w:br/>
            </w:r>
          </w:p>
        </w:tc>
      </w:tr>
    </w:tbl>
    <w:p>
      <w:pPr>
        <w:spacing w:after="80"/>
      </w:pPr>
    </w:p>
    <w:p>
      <w:pPr>
        <w:spacing w:line="312" w:lineRule="auto" w:before="320" w:after="120"/>
        <w:jc w:val="left"/>
      </w:pPr>
      <w:r>
        <w:rPr>
          <w:rFonts w:ascii="Times New Roman" w:hAnsi="Times New Roman"/>
          <w:b/>
          <w:color w:val="0D47A1"/>
          <w:sz w:val="30"/>
        </w:rPr>
        <w:t>3. System Prerequisites and Environment Configuration</w:t>
      </w:r>
    </w:p>
    <w:p>
      <w:pPr>
        <w:spacing w:line="360" w:lineRule="auto" w:after="120"/>
        <w:jc w:val="both"/>
      </w:pPr>
      <w:r>
        <w:rPr>
          <w:rFonts w:ascii="Times New Roman" w:hAnsi="Times New Roman"/>
          <w:sz w:val="24"/>
        </w:rPr>
        <w:t>The pipeline is engineered with zero-failure fallbacks to execute smoothly across any computing platform, including Apple Silicon (macOS ARM64), Intel x86_64, Linux workstations, and Windows systems.</w:t>
      </w:r>
    </w:p>
    <w:p>
      <w:pPr>
        <w:spacing w:line="312" w:lineRule="auto" w:before="240" w:after="80"/>
        <w:jc w:val="left"/>
      </w:pPr>
      <w:r>
        <w:rPr>
          <w:rFonts w:ascii="Times New Roman" w:hAnsi="Times New Roman"/>
          <w:b/>
          <w:color w:val="263238"/>
          <w:sz w:val="26"/>
        </w:rPr>
        <w:t>3.1 Required Python Libraries</w:t>
      </w:r>
    </w:p>
    <w:p>
      <w:pPr>
        <w:spacing w:line="360" w:lineRule="auto" w:after="120"/>
        <w:jc w:val="both"/>
      </w:pPr>
      <w:r>
        <w:rPr>
          <w:rFonts w:ascii="Times New Roman" w:hAnsi="Times New Roman"/>
          <w:sz w:val="24"/>
        </w:rPr>
        <w:t>Ensure Python 3.9 or higher is installed. The required packages can be installed using standard pip commands: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line="276" w:lineRule="auto" w:after="0"/>
              <w:jc w:val="left"/>
            </w:pPr>
            <w:r>
              <w:rPr>
                <w:rFonts w:ascii="Courier New" w:hAnsi="Courier New"/>
                <w:color w:val="1B3A57"/>
                <w:sz w:val="19"/>
              </w:rPr>
              <w:t>pip install biopython matplotlib numpy pillow python-docx aspose-words</w:t>
            </w:r>
          </w:p>
        </w:tc>
      </w:tr>
    </w:tbl>
    <w:p>
      <w:pPr>
        <w:spacing w:after="80"/>
      </w:pPr>
    </w:p>
    <w:p>
      <w:pPr>
        <w:spacing w:line="312" w:lineRule="auto" w:before="240" w:after="80"/>
        <w:jc w:val="left"/>
      </w:pPr>
      <w:r>
        <w:rPr>
          <w:rFonts w:ascii="Times New Roman" w:hAnsi="Times New Roman"/>
          <w:b/>
          <w:color w:val="263238"/>
          <w:sz w:val="26"/>
        </w:rPr>
        <w:t>3.2 External Tools and Hardware Compatibility</w:t>
      </w:r>
    </w:p>
    <w:p>
      <w:pPr>
        <w:spacing w:line="360" w:lineRule="auto" w:after="120"/>
        <w:jc w:val="both"/>
      </w:pPr>
      <w:r>
        <w:rPr>
          <w:rFonts w:ascii="Times New Roman" w:hAnsi="Times New Roman"/>
          <w:sz w:val="24"/>
        </w:rPr>
        <w:t>Phylogenetic inference relies on IQ-TREE. On Apple Silicon ARM64 machines, older x86 IQ-TREE binaries often produce architecture execution errors. The pipeline automatically locates and prioritizes native ARM64 binaries located in the workspace, falls back to system path binaries, or activates an internal BioPython distance-based tree construction engine if external binaries are unavailable.</w:t>
      </w:r>
    </w:p>
    <w:p>
      <w:pPr>
        <w:spacing w:line="360" w:lineRule="auto" w:after="120"/>
        <w:jc w:val="both"/>
      </w:pPr>
      <w:r>
        <w:rPr>
          <w:rFonts w:ascii="Times New Roman" w:hAnsi="Times New Roman"/>
          <w:sz w:val="24"/>
        </w:rPr>
        <w:t>Similarly, for Multiple Sequence Alignment (MSA), the pipeline attempts execution with MAFFT (--auto) and automatically transitions to an internal Bio.Align.PairwiseAligner progressive alignment algorithm when external MAFFT binaries are absent.</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180" w:type="dxa"/>
              <w:right w:w="180" w:type="dxa"/>
            </w:tcMar>
          </w:tcPr>
          <w:p>
            <w:pPr>
              <w:spacing w:line="288" w:lineRule="auto"/>
              <w:jc w:val="left"/>
            </w:pPr>
            <w:r>
              <w:rPr>
                <w:rFonts w:ascii="Times New Roman" w:hAnsi="Times New Roman"/>
                <w:b/>
                <w:color w:val="0D47A1"/>
                <w:sz w:val="22"/>
              </w:rPr>
              <w:t>Schematic Architecture: Midpoint-Rooted Linear ML Phylogeny Layout</w:t>
              <w:br/>
            </w:r>
            <w:r>
              <w:rPr>
                <w:rFonts w:ascii="Times New Roman" w:hAnsi="Times New Roman"/>
                <w:i/>
                <w:sz w:val="21"/>
              </w:rPr>
              <w:t xml:space="preserve">  • Topology: Maximum-Likelihood tree with midpoint rooting and ladderized branches.</w:t>
              <w:br/>
            </w:r>
            <w:r>
              <w:rPr>
                <w:rFonts w:ascii="Times New Roman" w:hAnsi="Times New Roman"/>
                <w:i/>
                <w:sz w:val="21"/>
              </w:rPr>
              <w:t xml:space="preserve">  • Support Values: Ultrafast bootstrap approximation values (&gt;= 50%) displayed at internal bifurcations.</w:t>
              <w:br/>
            </w:r>
            <w:r>
              <w:rPr>
                <w:rFonts w:ascii="Times New Roman" w:hAnsi="Times New Roman"/>
                <w:i/>
                <w:sz w:val="21"/>
              </w:rPr>
              <w:t xml:space="preserve">  • Taxon Badges: Study isolates highlighted with blue badges and stars; reference genomes highlighted with dark markers.</w:t>
              <w:br/>
            </w:r>
            <w:r>
              <w:rPr>
                <w:rFonts w:ascii="Times New Roman" w:hAnsi="Times New Roman"/>
                <w:i/>
                <w:sz w:val="21"/>
              </w:rPr>
              <w:t xml:space="preserve">  • Scale: Calibrated horizontal substitution scale bar positioned beneath basal node.</w:t>
              <w:br/>
            </w:r>
          </w:p>
        </w:tc>
      </w:tr>
    </w:tbl>
    <w:p>
      <w:pPr>
        <w:spacing w:after="80"/>
      </w:pPr>
    </w:p>
    <w:p>
      <w:pPr>
        <w:spacing w:line="312" w:lineRule="auto" w:before="320" w:after="120"/>
        <w:jc w:val="left"/>
      </w:pPr>
      <w:r>
        <w:rPr>
          <w:rFonts w:ascii="Times New Roman" w:hAnsi="Times New Roman"/>
          <w:b/>
          <w:color w:val="0D47A1"/>
          <w:sz w:val="30"/>
        </w:rPr>
        <w:t>4. Input Sequence Data Preparation</w:t>
      </w:r>
    </w:p>
    <w:p>
      <w:pPr>
        <w:spacing w:line="360" w:lineRule="auto" w:after="120"/>
        <w:jc w:val="both"/>
      </w:pPr>
      <w:r>
        <w:rPr>
          <w:rFonts w:ascii="Times New Roman" w:hAnsi="Times New Roman"/>
          <w:sz w:val="24"/>
        </w:rPr>
        <w:t>The visualizer accepts sequences formatted in standard FASTA (.fasta, .fas, .fa). Unlike restrictive tools that require rigid identifier schemas, this pipeline accommodates diverse naming conventions seamlessly:</w:t>
      </w:r>
    </w:p>
    <w:p>
      <w:pPr>
        <w:pStyle w:val="ListBullet"/>
        <w:spacing w:line="360" w:lineRule="auto" w:after="80"/>
        <w:jc w:val="both"/>
      </w:pPr>
      <w:r>
        <w:rPr>
          <w:rFonts w:ascii="Times New Roman" w:hAnsi="Times New Roman"/>
          <w:b/>
          <w:sz w:val="24"/>
        </w:rPr>
        <w:t>Accession-Free Data:</w:t>
      </w:r>
      <w:r>
        <w:rPr>
          <w:rFonts w:ascii="Times New Roman" w:hAnsi="Times New Roman"/>
          <w:sz w:val="24"/>
        </w:rPr>
        <w:t xml:space="preserve"> Sequences without NCBI Accessions: Clean isolate identifiers (e.g., &gt;Taxon_A, &gt;Isolate_1, &gt;Ref_Seq) are rendered with clear, crisp font scaling. The pipeline never prints empty brackets '[]' or placeholders.</w:t>
      </w:r>
    </w:p>
    <w:p>
      <w:pPr>
        <w:pStyle w:val="ListBullet"/>
        <w:spacing w:line="360" w:lineRule="auto" w:after="80"/>
        <w:jc w:val="both"/>
      </w:pPr>
      <w:r>
        <w:rPr>
          <w:rFonts w:ascii="Times New Roman" w:hAnsi="Times New Roman"/>
          <w:b/>
          <w:sz w:val="24"/>
        </w:rPr>
        <w:t>Standard NCBI Data:</w:t>
      </w:r>
      <w:r>
        <w:rPr>
          <w:rFonts w:ascii="Times New Roman" w:hAnsi="Times New Roman"/>
          <w:sz w:val="24"/>
        </w:rPr>
        <w:t xml:space="preserve"> Sequences with NCBI Accessions: Formatted headers such as &gt;Isolate_1 [MW123456] are automatically parsed to display isolate badges alongside accession badges.</w:t>
      </w:r>
    </w:p>
    <w:p>
      <w:pPr>
        <w:pStyle w:val="ListBullet"/>
        <w:spacing w:line="360" w:lineRule="auto" w:after="80"/>
        <w:jc w:val="both"/>
      </w:pPr>
      <w:r>
        <w:rPr>
          <w:rFonts w:ascii="Times New Roman" w:hAnsi="Times New Roman"/>
          <w:b/>
          <w:sz w:val="24"/>
        </w:rPr>
        <w:t>Reference Sequences:</w:t>
      </w:r>
      <w:r>
        <w:rPr>
          <w:rFonts w:ascii="Times New Roman" w:hAnsi="Times New Roman"/>
          <w:sz w:val="24"/>
        </w:rPr>
        <w:t xml:space="preserve"> Reference Sequence Recognition: Headers containing keywords such as 'Ref', 'Reference', 'NC_', or 'Ref. Seq.' are recognized and styled with dedicated distinct markers (● Reference), differentiating them from novel study isolates (★ Isolate).</w:t>
      </w:r>
    </w:p>
    <w:p>
      <w:pPr>
        <w:spacing w:line="360" w:lineRule="auto" w:after="120"/>
        <w:jc w:val="both"/>
      </w:pPr>
      <w:r>
        <w:rPr>
          <w:rFonts w:ascii="Times New Roman" w:hAnsi="Times New Roman"/>
          <w:sz w:val="24"/>
        </w:rPr>
        <w:t>Ensure all sequence records contain valid IUPAC nucleotide (A, C, G, T, R, Y, S, W, K, M, B, D, H, V, N) or amino acid characters. Degenerate bases and internal gaps are handled robustly.</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180" w:type="dxa"/>
              <w:right w:w="180" w:type="dxa"/>
            </w:tcMar>
          </w:tcPr>
          <w:p>
            <w:pPr>
              <w:spacing w:line="288" w:lineRule="auto"/>
              <w:jc w:val="left"/>
            </w:pPr>
            <w:r>
              <w:rPr>
                <w:rFonts w:ascii="Times New Roman" w:hAnsi="Times New Roman"/>
                <w:b/>
                <w:color w:val="0D47A1"/>
                <w:sz w:val="22"/>
              </w:rPr>
              <w:t>Schematic Architecture: Polar Circular Cladogram Multi-Ring Layout</w:t>
              <w:br/>
            </w:r>
            <w:r>
              <w:rPr>
                <w:rFonts w:ascii="Times New Roman" w:hAnsi="Times New Roman"/>
                <w:i/>
                <w:sz w:val="21"/>
              </w:rPr>
              <w:t xml:space="preserve">  • Angular Span: Tree branches project over a 330-degree circular sector (15 deg to 345 deg).</w:t>
              <w:br/>
            </w:r>
            <w:r>
              <w:rPr>
                <w:rFonts w:ascii="Times New Roman" w:hAnsi="Times New Roman"/>
                <w:i/>
                <w:sz w:val="21"/>
              </w:rPr>
              <w:t xml:space="preserve">  • Concentric Metadata Rings: Shaded tracks indicating Host species, Clade groupings, and Pathotype.</w:t>
              <w:br/>
            </w:r>
            <w:r>
              <w:rPr>
                <w:rFonts w:ascii="Times New Roman" w:hAnsi="Times New Roman"/>
                <w:i/>
                <w:sz w:val="21"/>
              </w:rPr>
              <w:t xml:space="preserve">  • Isolated Legend Box: Lower canvas quadrant ([0.05, 0.02, 0.90, 0.15]) dedicated strictly to legends.</w:t>
              <w:br/>
            </w:r>
            <w:r>
              <w:rPr>
                <w:rFonts w:ascii="Times New Roman" w:hAnsi="Times New Roman"/>
                <w:i/>
                <w:sz w:val="21"/>
              </w:rPr>
              <w:t xml:space="preserve">  • Label Radii: Radial leaf labels projected outward with dynamic angular alignment avoiding overlaps.</w:t>
              <w:br/>
            </w:r>
          </w:p>
        </w:tc>
      </w:tr>
    </w:tbl>
    <w:p>
      <w:pPr>
        <w:spacing w:after="80"/>
      </w:pPr>
    </w:p>
    <w:p>
      <w:pPr>
        <w:spacing w:line="312" w:lineRule="auto" w:before="320" w:after="120"/>
        <w:jc w:val="left"/>
      </w:pPr>
      <w:r>
        <w:rPr>
          <w:rFonts w:ascii="Times New Roman" w:hAnsi="Times New Roman"/>
          <w:b/>
          <w:color w:val="0D47A1"/>
          <w:sz w:val="30"/>
        </w:rPr>
        <w:t>5. Step-by-Step Execution Protocol</w:t>
      </w:r>
    </w:p>
    <w:p>
      <w:pPr>
        <w:spacing w:line="360" w:lineRule="auto" w:after="120"/>
        <w:jc w:val="both"/>
      </w:pPr>
      <w:r>
        <w:rPr>
          <w:rFonts w:ascii="Times New Roman" w:hAnsi="Times New Roman"/>
          <w:sz w:val="24"/>
        </w:rPr>
        <w:t>The master automated pipeline script is encapsulated in viral_phylogenomics_visualizer.py. Follow these sequential steps to run your analysis on any sequence dataset:</w:t>
      </w:r>
    </w:p>
    <w:p>
      <w:pPr>
        <w:spacing w:line="312" w:lineRule="auto" w:before="240" w:after="80"/>
        <w:jc w:val="left"/>
      </w:pPr>
      <w:r>
        <w:rPr>
          <w:rFonts w:ascii="Times New Roman" w:hAnsi="Times New Roman"/>
          <w:b/>
          <w:color w:val="263238"/>
          <w:sz w:val="26"/>
        </w:rPr>
        <w:t>Step 1: Place Input Sequence Files</w:t>
      </w:r>
    </w:p>
    <w:p>
      <w:pPr>
        <w:spacing w:line="360" w:lineRule="auto" w:after="120"/>
        <w:jc w:val="both"/>
      </w:pPr>
      <w:r>
        <w:rPr>
          <w:rFonts w:ascii="Times New Roman" w:hAnsi="Times New Roman"/>
          <w:sz w:val="24"/>
        </w:rPr>
        <w:t>Copy your target FASTA sequence file into your working directory (for example, ./sequences.fasta).</w:t>
      </w:r>
    </w:p>
    <w:p>
      <w:pPr>
        <w:spacing w:line="312" w:lineRule="auto" w:before="240" w:after="80"/>
        <w:jc w:val="left"/>
      </w:pPr>
      <w:r>
        <w:rPr>
          <w:rFonts w:ascii="Times New Roman" w:hAnsi="Times New Roman"/>
          <w:b/>
          <w:color w:val="263238"/>
          <w:sz w:val="26"/>
        </w:rPr>
        <w:t>Step 2: Execute the Single-Gene Analysis Pipeline</w:t>
      </w:r>
    </w:p>
    <w:p>
      <w:pPr>
        <w:spacing w:line="360" w:lineRule="auto" w:after="120"/>
        <w:jc w:val="both"/>
      </w:pPr>
      <w:r>
        <w:rPr>
          <w:rFonts w:ascii="Times New Roman" w:hAnsi="Times New Roman"/>
          <w:sz w:val="24"/>
        </w:rPr>
        <w:t>Open a terminal and run the visualizer specifying your input FASTA file, gene identifier, and designated output directory:</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line="276" w:lineRule="auto" w:after="0"/>
              <w:jc w:val="left"/>
            </w:pPr>
            <w:r>
              <w:rPr>
                <w:rFonts w:ascii="Courier New" w:hAnsi="Courier New"/>
                <w:color w:val="1B3A57"/>
                <w:sz w:val="19"/>
              </w:rPr>
              <w:t>python3 viral_phylogenomics_visualizer.py \</w:t>
              <w:br/>
              <w:t xml:space="preserve">  --fasta ./sequences.fasta \</w:t>
              <w:br/>
              <w:t xml:space="preserve">  --gene-name TargetGene \</w:t>
              <w:br/>
              <w:t xml:space="preserve">  --output-dir ./output_directory</w:t>
            </w:r>
          </w:p>
        </w:tc>
      </w:tr>
    </w:tbl>
    <w:p>
      <w:pPr>
        <w:spacing w:after="80"/>
      </w:pPr>
    </w:p>
    <w:p>
      <w:pPr>
        <w:spacing w:line="312" w:lineRule="auto" w:before="240" w:after="80"/>
        <w:jc w:val="left"/>
      </w:pPr>
      <w:r>
        <w:rPr>
          <w:rFonts w:ascii="Times New Roman" w:hAnsi="Times New Roman"/>
          <w:b/>
          <w:color w:val="263238"/>
          <w:sz w:val="26"/>
        </w:rPr>
        <w:t>Step 3: Dual-Gene Comparative Pipeline</w:t>
      </w:r>
    </w:p>
    <w:p>
      <w:pPr>
        <w:spacing w:line="360" w:lineRule="auto" w:after="120"/>
        <w:jc w:val="both"/>
      </w:pPr>
      <w:r>
        <w:rPr>
          <w:rFonts w:ascii="Times New Roman" w:hAnsi="Times New Roman"/>
          <w:sz w:val="24"/>
        </w:rPr>
        <w:t>When conducting dual-gene comparative analyses (e.g., Gene 1 vs. Gene 2), provide both FASTA files simultaneously to generate all 6 individual figures plus the 3 composite dual-panel plates: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line="276" w:lineRule="auto" w:after="0"/>
              <w:jc w:val="left"/>
            </w:pPr>
            <w:r>
              <w:rPr>
                <w:rFonts w:ascii="Courier New" w:hAnsi="Courier New"/>
                <w:color w:val="1B3A57"/>
                <w:sz w:val="19"/>
              </w:rPr>
              <w:t>python3 viral_phylogenomics_visualizer.py \</w:t>
              <w:br/>
              <w:t xml:space="preserve">  --fasta1 ./gene1_sequences.fasta \</w:t>
              <w:br/>
              <w:t xml:space="preserve">  --name1 Gene1 \</w:t>
              <w:br/>
              <w:t xml:space="preserve">  --fasta2 ./gene2_sequences.fasta \</w:t>
              <w:br/>
              <w:t xml:space="preserve">  --name2 Gene2 \</w:t>
              <w:br/>
              <w:t xml:space="preserve">  --output-dir ./output_directory</w:t>
            </w:r>
          </w:p>
        </w:tc>
      </w:tr>
    </w:tbl>
    <w:p>
      <w:pPr>
        <w:spacing w:after="80"/>
      </w:pPr>
    </w:p>
    <w:p>
      <w:pPr>
        <w:spacing w:line="312" w:lineRule="auto" w:before="240" w:after="80"/>
        <w:jc w:val="left"/>
      </w:pPr>
      <w:r>
        <w:rPr>
          <w:rFonts w:ascii="Times New Roman" w:hAnsi="Times New Roman"/>
          <w:b/>
          <w:color w:val="263238"/>
          <w:sz w:val="26"/>
        </w:rPr>
        <w:t>Step 4: Vector EMF Conversion for Microsoft Office</w:t>
      </w:r>
    </w:p>
    <w:p>
      <w:pPr>
        <w:spacing w:line="360" w:lineRule="auto" w:after="120"/>
        <w:jc w:val="both"/>
      </w:pPr>
      <w:r>
        <w:rPr>
          <w:rFonts w:ascii="Times New Roman" w:hAnsi="Times New Roman"/>
          <w:sz w:val="24"/>
        </w:rPr>
        <w:t>To ensure seamless embedding into Microsoft Word manuscripts and PowerPoint presentation slides without resolution degradation, convert the generated figures to Windows Enhanced Metafile (EMF) format using the built-in Aspose utility:</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line="276" w:lineRule="auto" w:after="0"/>
              <w:jc w:val="left"/>
            </w:pPr>
            <w:r>
              <w:rPr>
                <w:rFonts w:ascii="Courier New" w:hAnsi="Courier New"/>
                <w:color w:val="1B3A57"/>
                <w:sz w:val="19"/>
              </w:rPr>
              <w:t>python3 -c "</w:t>
              <w:br/>
              <w:t>import aspose.words as aw, glob, os</w:t>
              <w:br/>
              <w:t>out_dir = './output_directory'</w:t>
              <w:br/>
              <w:t>for png in glob.glob(os.path.join(out_dir, '*.png')):</w:t>
              <w:br/>
              <w:t xml:space="preserve">    emf = png.replace('.png', '.emf')</w:t>
              <w:br/>
              <w:t xml:space="preserve">    doc = aw.Document()</w:t>
              <w:br/>
              <w:t xml:space="preserve">    builder = aw.DocumentBuilder(doc)</w:t>
              <w:br/>
              <w:t xml:space="preserve">    builder.insert_image(png)</w:t>
              <w:br/>
              <w:t xml:space="preserve">    doc.save(emf)</w:t>
              <w:br/>
              <w:t xml:space="preserve">    print(f'Converted: {emf}')</w:t>
              <w:br/>
              <w:t>"</w:t>
            </w:r>
          </w:p>
        </w:tc>
      </w:tr>
    </w:tbl>
    <w:p>
      <w:pPr>
        <w:spacing w:after="80"/>
      </w:pPr>
    </w:p>
    <w:p>
      <w:pPr>
        <w:spacing w:line="312" w:lineRule="auto" w:before="240" w:after="80"/>
        <w:jc w:val="left"/>
      </w:pPr>
      <w:r>
        <w:rPr>
          <w:rFonts w:ascii="Times New Roman" w:hAnsi="Times New Roman"/>
          <w:b/>
          <w:color w:val="263238"/>
          <w:sz w:val="26"/>
        </w:rPr>
        <w:t>Step 5: Ultra-High-Resolution 960 DPI Print TIFF Generation</w:t>
      </w:r>
    </w:p>
    <w:p>
      <w:pPr>
        <w:spacing w:line="360" w:lineRule="auto" w:after="120"/>
        <w:jc w:val="both"/>
      </w:pPr>
      <w:r>
        <w:rPr>
          <w:rFonts w:ascii="Times New Roman" w:hAnsi="Times New Roman"/>
          <w:sz w:val="24"/>
        </w:rPr>
        <w:t>For final camera-ready print submissions to high-impact journals requiring 600–1000 DPI artwork, execute the macOS native sips utility:</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line="276" w:lineRule="auto" w:after="0"/>
              <w:jc w:val="left"/>
            </w:pPr>
            <w:r>
              <w:rPr>
                <w:rFonts w:ascii="Courier New" w:hAnsi="Courier New"/>
                <w:color w:val="1B3A57"/>
                <w:sz w:val="19"/>
              </w:rPr>
              <w:t>sips -s format tiff -s dpiHeight 960.0 -s dpiWidth 960.0 \</w:t>
              <w:br/>
              <w:t xml:space="preserve">  ./output_directory/Figure_TargetGene_SDT_Identity_Matrix.png \</w:t>
              <w:br/>
              <w:t xml:space="preserve">  --out ./output_directory/Figure_TargetGene_SDT_Identity_Matrix_960dpi.tiff</w:t>
            </w:r>
          </w:p>
        </w:tc>
      </w:tr>
    </w:tbl>
    <w:p>
      <w:pPr>
        <w:spacing w:after="80"/>
      </w:pPr>
    </w:p>
    <w:p>
      <w:pPr>
        <w:spacing w:line="312" w:lineRule="auto" w:before="320" w:after="120"/>
        <w:jc w:val="left"/>
      </w:pPr>
      <w:r>
        <w:rPr>
          <w:rFonts w:ascii="Times New Roman" w:hAnsi="Times New Roman"/>
          <w:b/>
          <w:color w:val="0D47A1"/>
          <w:sz w:val="30"/>
        </w:rPr>
        <w:t>6. Detailed Interpretation of Generated Figures</w:t>
      </w:r>
    </w:p>
    <w:p>
      <w:pPr>
        <w:spacing w:line="360" w:lineRule="auto" w:after="120"/>
        <w:jc w:val="both"/>
      </w:pPr>
      <w:r>
        <w:rPr>
          <w:rFonts w:ascii="Times New Roman" w:hAnsi="Times New Roman"/>
          <w:sz w:val="24"/>
        </w:rPr>
        <w:t>Understanding how to correctly interpret the visual elements of the generated portfolio ensures rigorous reporting in academic manuscripts:</w:t>
      </w:r>
    </w:p>
    <w:p>
      <w:pPr>
        <w:spacing w:line="312" w:lineRule="auto" w:before="240" w:after="80"/>
        <w:jc w:val="left"/>
      </w:pPr>
      <w:r>
        <w:rPr>
          <w:rFonts w:ascii="Times New Roman" w:hAnsi="Times New Roman"/>
          <w:b/>
          <w:color w:val="263238"/>
          <w:sz w:val="26"/>
        </w:rPr>
        <w:t>6.1 Stepped SDT Identity Matrix</w:t>
      </w:r>
    </w:p>
    <w:p>
      <w:pPr>
        <w:spacing w:line="360" w:lineRule="auto" w:after="120"/>
        <w:jc w:val="both"/>
      </w:pPr>
      <w:r>
        <w:rPr>
          <w:rFonts w:ascii="Times New Roman" w:hAnsi="Times New Roman"/>
          <w:sz w:val="24"/>
        </w:rPr>
        <w:t>In the stepped SDT matrix, cells correspond to pairwise sequence similarity calculated as identical sites divided by alignment length (excluding shared internal gaps). Values approaching 100% are rendered in crimson and red, transitioning through orange, yellow, green, and cyan down to blue and navy for more divergent pairs. Clade demarcation lines isolate clusters sharing &gt;= 90% identity, providing direct demarcation of species or strain boundaries.</w:t>
      </w:r>
    </w:p>
    <w:p>
      <w:pPr>
        <w:spacing w:line="312" w:lineRule="auto" w:before="240" w:after="80"/>
        <w:jc w:val="left"/>
      </w:pPr>
      <w:r>
        <w:rPr>
          <w:rFonts w:ascii="Times New Roman" w:hAnsi="Times New Roman"/>
          <w:b/>
          <w:color w:val="263238"/>
          <w:sz w:val="26"/>
        </w:rPr>
        <w:t>6.2 Midpoint-Rooted Linear Phylogeny</w:t>
      </w:r>
    </w:p>
    <w:p>
      <w:pPr>
        <w:spacing w:line="360" w:lineRule="auto" w:after="120"/>
        <w:jc w:val="both"/>
      </w:pPr>
      <w:r>
        <w:rPr>
          <w:rFonts w:ascii="Times New Roman" w:hAnsi="Times New Roman"/>
          <w:sz w:val="24"/>
        </w:rPr>
        <w:t>Branch lengths represent nucleotide or amino acid substitutions per site, with scale bars clearly marked (e.g., 0.05 substitutions/site). Node labels indicate ultrafast bootstrap values; values &gt;= 70% are considered robust. Badges highlight study isolates with dark navy badges and yellow stars, while reference genomes feature dark slate badges.</w:t>
      </w:r>
    </w:p>
    <w:p>
      <w:pPr>
        <w:spacing w:line="312" w:lineRule="auto" w:before="240" w:after="80"/>
        <w:jc w:val="left"/>
      </w:pPr>
      <w:r>
        <w:rPr>
          <w:rFonts w:ascii="Times New Roman" w:hAnsi="Times New Roman"/>
          <w:b/>
          <w:color w:val="263238"/>
          <w:sz w:val="26"/>
        </w:rPr>
        <w:t>6.3 Circular Cladogram with Isolated Legends</w:t>
      </w:r>
    </w:p>
    <w:p>
      <w:pPr>
        <w:spacing w:line="360" w:lineRule="auto" w:after="120"/>
        <w:jc w:val="both"/>
      </w:pPr>
      <w:r>
        <w:rPr>
          <w:rFonts w:ascii="Times New Roman" w:hAnsi="Times New Roman"/>
          <w:sz w:val="24"/>
        </w:rPr>
        <w:t>The circular cladogram visualizes higher-order population structure. Concentric tracks map host species and clade groupings around the circumference. By utilizing a dedicated sub-canvas (0.05 &lt;= y &lt;= 0.17), legend boxes remain completely decoupled from radial labels, ensuring zero visual overlap.</w:t>
      </w:r>
    </w:p>
    <w:p>
      <w:pPr>
        <w:spacing w:line="312" w:lineRule="auto" w:before="320" w:after="120"/>
        <w:jc w:val="left"/>
      </w:pPr>
      <w:r>
        <w:rPr>
          <w:rFonts w:ascii="Times New Roman" w:hAnsi="Times New Roman"/>
          <w:b/>
          <w:color w:val="0D47A1"/>
          <w:sz w:val="30"/>
        </w:rPr>
        <w:t>7. Troubleshooting &amp; Best Practices</w:t>
      </w:r>
    </w:p>
    <w:p>
      <w:pPr>
        <w:spacing w:line="360" w:lineRule="auto" w:after="120"/>
        <w:jc w:val="both"/>
      </w:pPr>
      <w:r>
        <w:rPr>
          <w:rFonts w:ascii="Times New Roman" w:hAnsi="Times New Roman"/>
          <w:sz w:val="24"/>
        </w:rPr>
        <w:t>Consult this reference table for resolving common analytical scenarios:</w:t>
      </w:r>
    </w:p>
    <w:tbl>
      <w:tblPr>
        <w:tblW w:type="auto" w:w="0"/>
        <w:jc w:val="center"/>
        <w:tblLook w:firstColumn="1" w:firstRow="1" w:lastColumn="0" w:lastRow="0" w:noHBand="0" w:noVBand="1" w:val="04A0"/>
      </w:tblPr>
      <w:tblGrid>
        <w:gridCol w:w="3120"/>
        <w:gridCol w:w="3120"/>
        <w:gridCol w:w="3120"/>
      </w:tblGrid>
      <w:tr>
        <w:tc>
          <w:tcPr>
            <w:tcW w:type="dxa" w:w="3120"/>
            <w:shd w:fill="0D47A1"/>
            <w:tcMar>
              <w:top w:w="100" w:type="dxa"/>
              <w:bottom w:w="100" w:type="dxa"/>
              <w:left w:w="120" w:type="dxa"/>
              <w:right w:w="120" w:type="dxa"/>
            </w:tcMar>
          </w:tcPr>
          <w:p>
            <w:pPr>
              <w:spacing w:line="276" w:lineRule="auto"/>
              <w:jc w:val="center"/>
            </w:pPr>
            <w:r>
              <w:rPr>
                <w:rFonts w:ascii="Times New Roman" w:hAnsi="Times New Roman"/>
                <w:b/>
                <w:color w:val="FFFFFF"/>
                <w:sz w:val="21"/>
              </w:rPr>
              <w:t>Observed Issue</w:t>
            </w:r>
          </w:p>
        </w:tc>
        <w:tc>
          <w:tcPr>
            <w:tcW w:type="dxa" w:w="3120"/>
            <w:shd w:fill="0D47A1"/>
            <w:tcMar>
              <w:top w:w="100" w:type="dxa"/>
              <w:bottom w:w="100" w:type="dxa"/>
              <w:left w:w="120" w:type="dxa"/>
              <w:right w:w="120" w:type="dxa"/>
            </w:tcMar>
          </w:tcPr>
          <w:p>
            <w:pPr>
              <w:spacing w:line="276" w:lineRule="auto"/>
              <w:jc w:val="center"/>
            </w:pPr>
            <w:r>
              <w:rPr>
                <w:rFonts w:ascii="Times New Roman" w:hAnsi="Times New Roman"/>
                <w:b/>
                <w:color w:val="FFFFFF"/>
                <w:sz w:val="21"/>
              </w:rPr>
              <w:t>Underlying Cause</w:t>
            </w:r>
          </w:p>
        </w:tc>
        <w:tc>
          <w:tcPr>
            <w:tcW w:type="dxa" w:w="3120"/>
            <w:shd w:fill="0D47A1"/>
            <w:tcMar>
              <w:top w:w="100" w:type="dxa"/>
              <w:bottom w:w="100" w:type="dxa"/>
              <w:left w:w="120" w:type="dxa"/>
              <w:right w:w="120" w:type="dxa"/>
            </w:tcMar>
          </w:tcPr>
          <w:p>
            <w:pPr>
              <w:spacing w:line="276" w:lineRule="auto"/>
              <w:jc w:val="center"/>
            </w:pPr>
            <w:r>
              <w:rPr>
                <w:rFonts w:ascii="Times New Roman" w:hAnsi="Times New Roman"/>
                <w:b/>
                <w:color w:val="FFFFFF"/>
                <w:sz w:val="21"/>
              </w:rPr>
              <w:t>Automated Resolution</w:t>
            </w:r>
          </w:p>
        </w:tc>
      </w:tr>
      <w:tr>
        <w:tc>
          <w:tcPr>
            <w:tcW w:type="dxa" w:w="3120"/>
            <w:shd w:fill="FAFCFE"/>
            <w:tcMar>
              <w:top w:w="80" w:type="dxa"/>
              <w:bottom w:w="80" w:type="dxa"/>
              <w:left w:w="120" w:type="dxa"/>
              <w:right w:w="120" w:type="dxa"/>
            </w:tcMar>
          </w:tcPr>
          <w:p>
            <w:pPr>
              <w:spacing w:line="276" w:lineRule="auto"/>
              <w:jc w:val="left"/>
            </w:pPr>
            <w:r>
              <w:rPr>
                <w:rFonts w:ascii="Times New Roman" w:hAnsi="Times New Roman"/>
                <w:sz w:val="20"/>
              </w:rPr>
              <w:t>Bad CPU type in executable</w:t>
            </w:r>
          </w:p>
        </w:tc>
        <w:tc>
          <w:tcPr>
            <w:tcW w:type="dxa" w:w="3120"/>
            <w:shd w:fill="FAFCFE"/>
            <w:tcMar>
              <w:top w:w="80" w:type="dxa"/>
              <w:bottom w:w="80" w:type="dxa"/>
              <w:left w:w="120" w:type="dxa"/>
              <w:right w:w="120" w:type="dxa"/>
            </w:tcMar>
          </w:tcPr>
          <w:p>
            <w:pPr>
              <w:spacing w:line="276" w:lineRule="auto"/>
              <w:jc w:val="left"/>
            </w:pPr>
            <w:r>
              <w:rPr>
                <w:rFonts w:ascii="Times New Roman" w:hAnsi="Times New Roman"/>
                <w:sz w:val="20"/>
              </w:rPr>
              <w:t>x86_64 binary invoked on Apple Silicon ARM64 CPU.</w:t>
            </w:r>
          </w:p>
        </w:tc>
        <w:tc>
          <w:tcPr>
            <w:tcW w:type="dxa" w:w="3120"/>
            <w:shd w:fill="FAFCFE"/>
            <w:tcMar>
              <w:top w:w="80" w:type="dxa"/>
              <w:bottom w:w="80" w:type="dxa"/>
              <w:left w:w="120" w:type="dxa"/>
              <w:right w:w="120" w:type="dxa"/>
            </w:tcMar>
          </w:tcPr>
          <w:p>
            <w:pPr>
              <w:spacing w:line="276" w:lineRule="auto"/>
              <w:jc w:val="left"/>
            </w:pPr>
            <w:r>
              <w:rPr>
                <w:rFonts w:ascii="Times New Roman" w:hAnsi="Times New Roman"/>
                <w:sz w:val="20"/>
              </w:rPr>
              <w:t>Pipeline automatically detects and runs arm64 native IQ-TREE binary or internal BioPython fallback.</w:t>
            </w:r>
          </w:p>
        </w:tc>
      </w:tr>
      <w:tr>
        <w:tc>
          <w:tcPr>
            <w:tcW w:type="dxa" w:w="3120"/>
            <w:shd w:fill="F0F4F8"/>
            <w:tcMar>
              <w:top w:w="80" w:type="dxa"/>
              <w:bottom w:w="80" w:type="dxa"/>
              <w:left w:w="120" w:type="dxa"/>
              <w:right w:w="120" w:type="dxa"/>
            </w:tcMar>
          </w:tcPr>
          <w:p>
            <w:pPr>
              <w:spacing w:line="276" w:lineRule="auto"/>
              <w:jc w:val="left"/>
            </w:pPr>
            <w:r>
              <w:rPr>
                <w:rFonts w:ascii="Times New Roman" w:hAnsi="Times New Roman"/>
                <w:sz w:val="20"/>
              </w:rPr>
              <w:t>Legend overlaps circular tree</w:t>
            </w:r>
          </w:p>
        </w:tc>
        <w:tc>
          <w:tcPr>
            <w:tcW w:type="dxa" w:w="3120"/>
            <w:shd w:fill="F0F4F8"/>
            <w:tcMar>
              <w:top w:w="80" w:type="dxa"/>
              <w:bottom w:w="80" w:type="dxa"/>
              <w:left w:w="120" w:type="dxa"/>
              <w:right w:w="120" w:type="dxa"/>
            </w:tcMar>
          </w:tcPr>
          <w:p>
            <w:pPr>
              <w:spacing w:line="276" w:lineRule="auto"/>
              <w:jc w:val="left"/>
            </w:pPr>
            <w:r>
              <w:rPr>
                <w:rFonts w:ascii="Times New Roman" w:hAnsi="Times New Roman"/>
                <w:sz w:val="20"/>
              </w:rPr>
              <w:t>plt.tight_layout() collapsing polar axis bounding boxes.</w:t>
            </w:r>
          </w:p>
        </w:tc>
        <w:tc>
          <w:tcPr>
            <w:tcW w:type="dxa" w:w="3120"/>
            <w:shd w:fill="F0F4F8"/>
            <w:tcMar>
              <w:top w:w="80" w:type="dxa"/>
              <w:bottom w:w="80" w:type="dxa"/>
              <w:left w:w="120" w:type="dxa"/>
              <w:right w:w="120" w:type="dxa"/>
            </w:tcMar>
          </w:tcPr>
          <w:p>
            <w:pPr>
              <w:spacing w:line="276" w:lineRule="auto"/>
              <w:jc w:val="left"/>
            </w:pPr>
            <w:r>
              <w:rPr>
                <w:rFonts w:ascii="Times New Roman" w:hAnsi="Times New Roman"/>
                <w:sz w:val="20"/>
              </w:rPr>
              <w:t>Pipeline allocates dedicated axes ([0.05, 0.17, 0.90, 0.81]) and anchors legends in isolated lower zone.</w:t>
            </w:r>
          </w:p>
        </w:tc>
      </w:tr>
      <w:tr>
        <w:tc>
          <w:tcPr>
            <w:tcW w:type="dxa" w:w="3120"/>
            <w:shd w:fill="FAFCFE"/>
            <w:tcMar>
              <w:top w:w="80" w:type="dxa"/>
              <w:bottom w:w="80" w:type="dxa"/>
              <w:left w:w="120" w:type="dxa"/>
              <w:right w:w="120" w:type="dxa"/>
            </w:tcMar>
          </w:tcPr>
          <w:p>
            <w:pPr>
              <w:spacing w:line="276" w:lineRule="auto"/>
              <w:jc w:val="left"/>
            </w:pPr>
            <w:r>
              <w:rPr>
                <w:rFonts w:ascii="Times New Roman" w:hAnsi="Times New Roman"/>
                <w:sz w:val="20"/>
              </w:rPr>
              <w:t>No accession numbers in FASTA</w:t>
            </w:r>
          </w:p>
        </w:tc>
        <w:tc>
          <w:tcPr>
            <w:tcW w:type="dxa" w:w="3120"/>
            <w:shd w:fill="FAFCFE"/>
            <w:tcMar>
              <w:top w:w="80" w:type="dxa"/>
              <w:bottom w:w="80" w:type="dxa"/>
              <w:left w:w="120" w:type="dxa"/>
              <w:right w:w="120" w:type="dxa"/>
            </w:tcMar>
          </w:tcPr>
          <w:p>
            <w:pPr>
              <w:spacing w:line="276" w:lineRule="auto"/>
              <w:jc w:val="left"/>
            </w:pPr>
            <w:r>
              <w:rPr>
                <w:rFonts w:ascii="Times New Roman" w:hAnsi="Times New Roman"/>
                <w:sz w:val="20"/>
              </w:rPr>
              <w:t>Raw isolate identifiers (e.g. &gt;Taxon_1) lacking GenBank IDs.</w:t>
            </w:r>
          </w:p>
        </w:tc>
        <w:tc>
          <w:tcPr>
            <w:tcW w:type="dxa" w:w="3120"/>
            <w:shd w:fill="FAFCFE"/>
            <w:tcMar>
              <w:top w:w="80" w:type="dxa"/>
              <w:bottom w:w="80" w:type="dxa"/>
              <w:left w:w="120" w:type="dxa"/>
              <w:right w:w="120" w:type="dxa"/>
            </w:tcMar>
          </w:tcPr>
          <w:p>
            <w:pPr>
              <w:spacing w:line="276" w:lineRule="auto"/>
              <w:jc w:val="left"/>
            </w:pPr>
            <w:r>
              <w:rPr>
                <w:rFonts w:ascii="Times New Roman" w:hAnsi="Times New Roman"/>
                <w:sz w:val="20"/>
              </w:rPr>
              <w:t>Pipeline parses clean identifiers without empty brackets '[]' and maintains balanced font scaling.</w:t>
            </w:r>
          </w:p>
        </w:tc>
      </w:tr>
      <w:tr>
        <w:tc>
          <w:tcPr>
            <w:tcW w:type="dxa" w:w="3120"/>
            <w:shd w:fill="F0F4F8"/>
            <w:tcMar>
              <w:top w:w="80" w:type="dxa"/>
              <w:bottom w:w="80" w:type="dxa"/>
              <w:left w:w="120" w:type="dxa"/>
              <w:right w:w="120" w:type="dxa"/>
            </w:tcMar>
          </w:tcPr>
          <w:p>
            <w:pPr>
              <w:spacing w:line="276" w:lineRule="auto"/>
              <w:jc w:val="left"/>
            </w:pPr>
            <w:r>
              <w:rPr>
                <w:rFonts w:ascii="Times New Roman" w:hAnsi="Times New Roman"/>
                <w:sz w:val="20"/>
              </w:rPr>
              <w:t>Blurry images in MS Word</w:t>
            </w:r>
          </w:p>
        </w:tc>
        <w:tc>
          <w:tcPr>
            <w:tcW w:type="dxa" w:w="3120"/>
            <w:shd w:fill="F0F4F8"/>
            <w:tcMar>
              <w:top w:w="80" w:type="dxa"/>
              <w:bottom w:w="80" w:type="dxa"/>
              <w:left w:w="120" w:type="dxa"/>
              <w:right w:w="120" w:type="dxa"/>
            </w:tcMar>
          </w:tcPr>
          <w:p>
            <w:pPr>
              <w:spacing w:line="276" w:lineRule="auto"/>
              <w:jc w:val="left"/>
            </w:pPr>
            <w:r>
              <w:rPr>
                <w:rFonts w:ascii="Times New Roman" w:hAnsi="Times New Roman"/>
                <w:sz w:val="20"/>
              </w:rPr>
              <w:t>Raster PNG resizing causing pixelation.</w:t>
            </w:r>
          </w:p>
        </w:tc>
        <w:tc>
          <w:tcPr>
            <w:tcW w:type="dxa" w:w="3120"/>
            <w:shd w:fill="F0F4F8"/>
            <w:tcMar>
              <w:top w:w="80" w:type="dxa"/>
              <w:bottom w:w="80" w:type="dxa"/>
              <w:left w:w="120" w:type="dxa"/>
              <w:right w:w="120" w:type="dxa"/>
            </w:tcMar>
          </w:tcPr>
          <w:p>
            <w:pPr>
              <w:spacing w:line="276" w:lineRule="auto"/>
              <w:jc w:val="left"/>
            </w:pPr>
            <w:r>
              <w:rPr>
                <w:rFonts w:ascii="Times New Roman" w:hAnsi="Times New Roman"/>
                <w:sz w:val="20"/>
              </w:rPr>
              <w:t>Use generated vector .emf files which scale infinitely without loss of quality in Microsoft Office.</w:t>
            </w:r>
          </w:p>
        </w:tc>
      </w:tr>
    </w:tbl>
    <w:p>
      <w:pPr>
        <w:spacing w:after="160"/>
      </w:pPr>
    </w:p>
    <w:p>
      <w:pPr>
        <w:spacing w:line="312" w:lineRule="auto" w:before="320" w:after="120"/>
        <w:jc w:val="left"/>
      </w:pPr>
      <w:r>
        <w:rPr>
          <w:rFonts w:ascii="Times New Roman" w:hAnsi="Times New Roman"/>
          <w:b/>
          <w:color w:val="0D47A1"/>
          <w:sz w:val="30"/>
        </w:rPr>
        <w:t>8. Publication Citations &amp; References</w:t>
      </w:r>
    </w:p>
    <w:p>
      <w:pPr>
        <w:spacing w:line="360" w:lineRule="auto" w:after="120"/>
        <w:jc w:val="both"/>
      </w:pPr>
      <w:r>
        <w:rPr>
          <w:rFonts w:ascii="Times New Roman" w:hAnsi="Times New Roman"/>
          <w:sz w:val="24"/>
        </w:rPr>
        <w:t>When publishing figures generated with this pipeline in scientific journals, please cite the underlying foundational algorithms and tools:</w:t>
      </w:r>
    </w:p>
    <w:p>
      <w:pPr>
        <w:pStyle w:val="ListBullet"/>
        <w:spacing w:line="360" w:lineRule="auto" w:after="80"/>
        <w:jc w:val="both"/>
      </w:pPr>
      <w:r>
        <w:rPr>
          <w:rFonts w:ascii="Times New Roman" w:hAnsi="Times New Roman"/>
          <w:b/>
          <w:sz w:val="24"/>
        </w:rPr>
        <w:t>SDT v1.2 Algorithm:</w:t>
      </w:r>
      <w:r>
        <w:rPr>
          <w:rFonts w:ascii="Times New Roman" w:hAnsi="Times New Roman"/>
          <w:sz w:val="24"/>
        </w:rPr>
        <w:t xml:space="preserve"> Muhire, B. M., Varsani, A., &amp; Martin, D. P. (2014). SDT: a computer program for classifying and dividing sequences based on pairwise sequence identity. PLoS ONE, 9(9), e108277.</w:t>
      </w:r>
    </w:p>
    <w:p>
      <w:pPr>
        <w:pStyle w:val="ListBullet"/>
        <w:spacing w:line="360" w:lineRule="auto" w:after="80"/>
        <w:jc w:val="both"/>
      </w:pPr>
      <w:r>
        <w:rPr>
          <w:rFonts w:ascii="Times New Roman" w:hAnsi="Times New Roman"/>
          <w:b/>
          <w:sz w:val="24"/>
        </w:rPr>
        <w:t>IQ-TREE 2:</w:t>
      </w:r>
      <w:r>
        <w:rPr>
          <w:rFonts w:ascii="Times New Roman" w:hAnsi="Times New Roman"/>
          <w:sz w:val="24"/>
        </w:rPr>
        <w:t xml:space="preserve"> Minh, B. Q., Schmidt, H. A., Chernomor, O., Schrempf, D., Woodhams, M. D., von Haeseler, A., &amp; Lanfear, R. (2020). IQ-TREE 2: New models and efficient methods for phylogenomic inference in the genomic era. Molecular Biology and Evolution, 37(5), 1530–1534.</w:t>
      </w:r>
    </w:p>
    <w:p>
      <w:pPr>
        <w:pStyle w:val="ListBullet"/>
        <w:spacing w:line="360" w:lineRule="auto" w:after="80"/>
        <w:jc w:val="both"/>
      </w:pPr>
      <w:r>
        <w:rPr>
          <w:rFonts w:ascii="Times New Roman" w:hAnsi="Times New Roman"/>
          <w:b/>
          <w:sz w:val="24"/>
        </w:rPr>
        <w:t>MAFFT MSA:</w:t>
      </w:r>
      <w:r>
        <w:rPr>
          <w:rFonts w:ascii="Times New Roman" w:hAnsi="Times New Roman"/>
          <w:sz w:val="24"/>
        </w:rPr>
        <w:t xml:space="preserve"> Katoh, K., &amp; Standley, D. M. (2013). MAFFT multiple sequence alignment software version 7: improvements in performance and usability. Molecular Biology and Evolution, 30(4), 772–780.</w:t>
      </w:r>
    </w:p>
    <w:p>
      <w:pPr>
        <w:pStyle w:val="ListBullet"/>
        <w:spacing w:line="360" w:lineRule="auto" w:after="80"/>
        <w:jc w:val="both"/>
      </w:pPr>
      <w:r>
        <w:rPr>
          <w:rFonts w:ascii="Times New Roman" w:hAnsi="Times New Roman"/>
          <w:b/>
          <w:sz w:val="24"/>
        </w:rPr>
        <w:t>BioPython:</w:t>
      </w:r>
      <w:r>
        <w:rPr>
          <w:rFonts w:ascii="Times New Roman" w:hAnsi="Times New Roman"/>
          <w:sz w:val="24"/>
        </w:rPr>
        <w:t xml:space="preserve"> Cock, P. J., Antao, T., Chang, J. T., Chapman, B. A., Cox, C. J., Dalke, A., ... &amp; de Hoon, M. J. (2009). Biopython: freely available Python tools for computational molecular biology and bioinformatics. Bioinformatics, 25(11), 1422–1423.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