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Exploratory Data Analysis (EDA) Summary Report</w:t>
      </w:r>
    </w:p>
    <w:p>
      <w:pPr>
        <w:spacing w:after="40"/>
      </w:pPr>
      <w:r>
        <w:rPr>
          <w:i/>
          <w:iCs/>
          <w:color w:val="555555"/>
          <w:sz w:val="22"/>
          <w:szCs w:val="22"/>
        </w:rPr>
        <w:t xml:space="preserve">Geldium Finance — Credit Card Delinquency Dataset</w:t>
      </w:r>
    </w:p>
    <w:p>
      <w:pPr>
        <w:spacing w:after="300"/>
      </w:pPr>
      <w:r>
        <w:rPr>
          <w:i/>
          <w:iCs/>
          <w:color w:val="888888"/>
          <w:sz w:val="18"/>
          <w:szCs w:val="18"/>
        </w:rPr>
        <w:t xml:space="preserve">Prepared as part of the Tata iQ GenAI Powered Data Analytics Forage virtual experience (simulated client engagement).</w:t>
      </w:r>
    </w:p>
    <w:p>
      <w:pPr>
        <w:pBdr>
          <w:bottom w:val="single" w:color="AAAAAA" w:sz="6" w:space="1"/>
        </w:pBdr>
        <w:spacing w:after="200"/>
      </w:pPr>
    </w:p>
    <w:p>
      <w:pPr>
        <w:pStyle w:val="Heading1"/>
        <w:spacing w:after="150" w:before="300"/>
      </w:pPr>
      <w:r>
        <w:t xml:space="preserve">1. Introduction</w:t>
      </w:r>
    </w:p>
    <w:p>
      <w:pPr>
        <w:spacing w:after="160"/>
      </w:pPr>
      <w:r>
        <w:t xml:space="preserve">This report presents an exploratory data analysis (EDA) of Geldium Finance's customer dataset, conducted to assess data quality and surface patterns relevant to credit card delinquency risk ahead of predictive modeling. The analysis was performed directly on the provided dataset of 500 customer records using Python (pandas), with structuring and narrative support from generative AI tools.</w:t>
      </w:r>
    </w:p>
    <w:p>
      <w:pPr>
        <w:spacing w:after="160"/>
      </w:pPr>
      <w:r>
        <w:t xml:space="preserve">The goal of this analysis is threefold: (1) confirm the dataset is fit for modeling, (2) identify and document data quality issues that must be resolved before modeling, and (3) surface any early risk signals — while being transparent about where the data does, and does not, support strong conclusions.</w:t>
      </w:r>
    </w:p>
    <w:p>
      <w:pPr>
        <w:pStyle w:val="Heading1"/>
        <w:spacing w:after="150" w:before="300"/>
      </w:pPr>
      <w:r>
        <w:t xml:space="preserve">2. Dataset Overview</w:t>
      </w:r>
    </w:p>
    <w:p>
      <w:pPr>
        <w:spacing w:after="160"/>
      </w:pPr>
      <w:r>
        <w:t xml:space="preserve">The dataset contains 500 customer records across 19 fields, combining demographic, financial, and behavioral attributes with a 6-month payment history and a binary delinquency label.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D9E2F3" w:val="clear"/>
            <w:tcMar>
              <w:top w:type="dxa" w:w="80"/>
              <w:left w:type="dxa" w:w="120"/>
              <w:bottom w:type="dxa" w:w="80"/>
              <w:right w:type="dxa" w:w="120"/>
            </w:tcMar>
            <w:vAlign w:val="center"/>
          </w:tcPr>
          <w:p>
            <w:pPr>
              <w:jc w:val="left"/>
            </w:pPr>
            <w:r>
              <w:rPr>
                <w:b/>
                <w:bCs/>
              </w:rPr>
              <w:t xml:space="preserve">Attribute</w:t>
            </w:r>
          </w:p>
        </w:tc>
        <w:tc>
          <w:tcPr>
            <w:tcW w:type="dxa" w:w="6300"/>
            <w:shd w:fill="D9E2F3" w:val="clear"/>
            <w:tcMar>
              <w:top w:type="dxa" w:w="80"/>
              <w:left w:type="dxa" w:w="120"/>
              <w:bottom w:type="dxa" w:w="80"/>
              <w:right w:type="dxa" w:w="120"/>
            </w:tcMar>
            <w:vAlign w:val="center"/>
          </w:tcPr>
          <w:p>
            <w:pPr>
              <w:jc w:val="left"/>
            </w:pPr>
            <w:r>
              <w:rPr>
                <w:b/>
                <w:bCs/>
              </w:rPr>
              <w:t xml:space="preserve">Detail</w:t>
            </w:r>
          </w:p>
        </w:tc>
      </w:tr>
      <w:tr>
        <w:tc>
          <w:tcPr>
            <w:tcW w:type="dxa" w:w="3200"/>
            <w:tcMar>
              <w:top w:type="dxa" w:w="80"/>
              <w:left w:type="dxa" w:w="120"/>
              <w:bottom w:type="dxa" w:w="80"/>
              <w:right w:type="dxa" w:w="120"/>
            </w:tcMar>
            <w:vAlign w:val="center"/>
          </w:tcPr>
          <w:p>
            <w:pPr>
              <w:jc w:val="left"/>
            </w:pPr>
            <w:r>
              <w:rPr>
                <w:b w:val="false"/>
                <w:bCs w:val="false"/>
              </w:rPr>
              <w:t xml:space="preserve">Number of records</w:t>
            </w:r>
          </w:p>
        </w:tc>
        <w:tc>
          <w:tcPr>
            <w:tcW w:type="dxa" w:w="6300"/>
            <w:tcMar>
              <w:top w:type="dxa" w:w="80"/>
              <w:left w:type="dxa" w:w="120"/>
              <w:bottom w:type="dxa" w:w="80"/>
              <w:right w:type="dxa" w:w="120"/>
            </w:tcMar>
            <w:vAlign w:val="center"/>
          </w:tcPr>
          <w:p>
            <w:pPr>
              <w:jc w:val="left"/>
            </w:pPr>
            <w:r>
              <w:rPr>
                <w:b w:val="false"/>
                <w:bCs w:val="false"/>
              </w:rPr>
              <w:t xml:space="preserve">500</w:t>
            </w:r>
          </w:p>
        </w:tc>
      </w:tr>
      <w:tr>
        <w:tc>
          <w:tcPr>
            <w:tcW w:type="dxa" w:w="3200"/>
            <w:shd w:fill="F2F2F2" w:val="clear"/>
            <w:tcMar>
              <w:top w:type="dxa" w:w="80"/>
              <w:left w:type="dxa" w:w="120"/>
              <w:bottom w:type="dxa" w:w="80"/>
              <w:right w:type="dxa" w:w="120"/>
            </w:tcMar>
            <w:vAlign w:val="center"/>
          </w:tcPr>
          <w:p>
            <w:pPr>
              <w:jc w:val="left"/>
            </w:pPr>
            <w:r>
              <w:rPr>
                <w:b w:val="false"/>
                <w:bCs w:val="false"/>
              </w:rPr>
              <w:t xml:space="preserve">Number of fields</w:t>
            </w:r>
          </w:p>
        </w:tc>
        <w:tc>
          <w:tcPr>
            <w:tcW w:type="dxa" w:w="6300"/>
            <w:shd w:fill="F2F2F2" w:val="clear"/>
            <w:tcMar>
              <w:top w:type="dxa" w:w="80"/>
              <w:left w:type="dxa" w:w="120"/>
              <w:bottom w:type="dxa" w:w="80"/>
              <w:right w:type="dxa" w:w="120"/>
            </w:tcMar>
            <w:vAlign w:val="center"/>
          </w:tcPr>
          <w:p>
            <w:pPr>
              <w:jc w:val="left"/>
            </w:pPr>
            <w:r>
              <w:rPr>
                <w:b w:val="false"/>
                <w:bCs w:val="false"/>
              </w:rPr>
              <w:t xml:space="preserve">19</w:t>
            </w:r>
          </w:p>
        </w:tc>
      </w:tr>
      <w:tr>
        <w:tc>
          <w:tcPr>
            <w:tcW w:type="dxa" w:w="3200"/>
            <w:tcMar>
              <w:top w:type="dxa" w:w="80"/>
              <w:left w:type="dxa" w:w="120"/>
              <w:bottom w:type="dxa" w:w="80"/>
              <w:right w:type="dxa" w:w="120"/>
            </w:tcMar>
            <w:vAlign w:val="center"/>
          </w:tcPr>
          <w:p>
            <w:pPr>
              <w:jc w:val="left"/>
            </w:pPr>
            <w:r>
              <w:rPr>
                <w:b w:val="false"/>
                <w:bCs w:val="false"/>
              </w:rPr>
              <w:t xml:space="preserve">Target variable</w:t>
            </w:r>
          </w:p>
        </w:tc>
        <w:tc>
          <w:tcPr>
            <w:tcW w:type="dxa" w:w="6300"/>
            <w:tcMar>
              <w:top w:type="dxa" w:w="80"/>
              <w:left w:type="dxa" w:w="120"/>
              <w:bottom w:type="dxa" w:w="80"/>
              <w:right w:type="dxa" w:w="120"/>
            </w:tcMar>
            <w:vAlign w:val="center"/>
          </w:tcPr>
          <w:p>
            <w:pPr>
              <w:jc w:val="left"/>
            </w:pPr>
            <w:r>
              <w:rPr>
                <w:b w:val="false"/>
                <w:bCs w:val="false"/>
              </w:rPr>
              <w:t xml:space="preserve">Delinquent_Account (0 = No, 1 = Yes)</w:t>
            </w:r>
          </w:p>
        </w:tc>
      </w:tr>
      <w:tr>
        <w:tc>
          <w:tcPr>
            <w:tcW w:type="dxa" w:w="3200"/>
            <w:shd w:fill="F2F2F2" w:val="clear"/>
            <w:tcMar>
              <w:top w:type="dxa" w:w="80"/>
              <w:left w:type="dxa" w:w="120"/>
              <w:bottom w:type="dxa" w:w="80"/>
              <w:right w:type="dxa" w:w="120"/>
            </w:tcMar>
            <w:vAlign w:val="center"/>
          </w:tcPr>
          <w:p>
            <w:pPr>
              <w:jc w:val="left"/>
            </w:pPr>
            <w:r>
              <w:rPr>
                <w:b w:val="false"/>
                <w:bCs w:val="false"/>
              </w:rPr>
              <w:t xml:space="preserve">Overall delinquency rate</w:t>
            </w:r>
          </w:p>
        </w:tc>
        <w:tc>
          <w:tcPr>
            <w:tcW w:type="dxa" w:w="6300"/>
            <w:shd w:fill="F2F2F2" w:val="clear"/>
            <w:tcMar>
              <w:top w:type="dxa" w:w="80"/>
              <w:left w:type="dxa" w:w="120"/>
              <w:bottom w:type="dxa" w:w="80"/>
              <w:right w:type="dxa" w:w="120"/>
            </w:tcMar>
            <w:vAlign w:val="center"/>
          </w:tcPr>
          <w:p>
            <w:pPr>
              <w:jc w:val="left"/>
            </w:pPr>
            <w:r>
              <w:rPr>
                <w:b w:val="false"/>
                <w:bCs w:val="false"/>
              </w:rPr>
              <w:t xml:space="preserve">16.0% (80 of 500 customers)</w:t>
            </w:r>
          </w:p>
        </w:tc>
      </w:tr>
      <w:tr>
        <w:tc>
          <w:tcPr>
            <w:tcW w:type="dxa" w:w="3200"/>
            <w:tcMar>
              <w:top w:type="dxa" w:w="80"/>
              <w:left w:type="dxa" w:w="120"/>
              <w:bottom w:type="dxa" w:w="80"/>
              <w:right w:type="dxa" w:w="120"/>
            </w:tcMar>
            <w:vAlign w:val="center"/>
          </w:tcPr>
          <w:p>
            <w:pPr>
              <w:jc w:val="left"/>
            </w:pPr>
            <w:r>
              <w:rPr>
                <w:b w:val="false"/>
                <w:bCs w:val="false"/>
              </w:rPr>
              <w:t xml:space="preserve">Numerical features</w:t>
            </w:r>
          </w:p>
        </w:tc>
        <w:tc>
          <w:tcPr>
            <w:tcW w:type="dxa" w:w="6300"/>
            <w:tcMar>
              <w:top w:type="dxa" w:w="80"/>
              <w:left w:type="dxa" w:w="120"/>
              <w:bottom w:type="dxa" w:w="80"/>
              <w:right w:type="dxa" w:w="120"/>
            </w:tcMar>
            <w:vAlign w:val="center"/>
          </w:tcPr>
          <w:p>
            <w:pPr>
              <w:jc w:val="left"/>
            </w:pPr>
            <w:r>
              <w:rPr>
                <w:b w:val="false"/>
                <w:bCs w:val="false"/>
              </w:rPr>
              <w:t xml:space="preserve">Age, Income, Credit_Score, Credit_Utilization, Missed_Payments, Loan_Balance, Debt_to_Income_Ratio, Account_Tenure</w:t>
            </w:r>
          </w:p>
        </w:tc>
      </w:tr>
      <w:tr>
        <w:tc>
          <w:tcPr>
            <w:tcW w:type="dxa" w:w="3200"/>
            <w:shd w:fill="F2F2F2" w:val="clear"/>
            <w:tcMar>
              <w:top w:type="dxa" w:w="80"/>
              <w:left w:type="dxa" w:w="120"/>
              <w:bottom w:type="dxa" w:w="80"/>
              <w:right w:type="dxa" w:w="120"/>
            </w:tcMar>
            <w:vAlign w:val="center"/>
          </w:tcPr>
          <w:p>
            <w:pPr>
              <w:jc w:val="left"/>
            </w:pPr>
            <w:r>
              <w:rPr>
                <w:b w:val="false"/>
                <w:bCs w:val="false"/>
              </w:rPr>
              <w:t xml:space="preserve">Categorical features</w:t>
            </w:r>
          </w:p>
        </w:tc>
        <w:tc>
          <w:tcPr>
            <w:tcW w:type="dxa" w:w="6300"/>
            <w:shd w:fill="F2F2F2" w:val="clear"/>
            <w:tcMar>
              <w:top w:type="dxa" w:w="80"/>
              <w:left w:type="dxa" w:w="120"/>
              <w:bottom w:type="dxa" w:w="80"/>
              <w:right w:type="dxa" w:w="120"/>
            </w:tcMar>
            <w:vAlign w:val="center"/>
          </w:tcPr>
          <w:p>
            <w:pPr>
              <w:jc w:val="left"/>
            </w:pPr>
            <w:r>
              <w:rPr>
                <w:b w:val="false"/>
                <w:bCs w:val="false"/>
              </w:rPr>
              <w:t xml:space="preserve">Employment_Status, Credit_Card_Type, Location, Month_1–Month_6 (On-time / Late / Missed)</w:t>
            </w:r>
          </w:p>
        </w:tc>
      </w:tr>
      <w:tr>
        <w:tc>
          <w:tcPr>
            <w:tcW w:type="dxa" w:w="3200"/>
            <w:tcMar>
              <w:top w:type="dxa" w:w="80"/>
              <w:left w:type="dxa" w:w="120"/>
              <w:bottom w:type="dxa" w:w="80"/>
              <w:right w:type="dxa" w:w="120"/>
            </w:tcMar>
            <w:vAlign w:val="center"/>
          </w:tcPr>
          <w:p>
            <w:pPr>
              <w:jc w:val="left"/>
            </w:pPr>
            <w:r>
              <w:rPr>
                <w:b w:val="false"/>
                <w:bCs w:val="false"/>
              </w:rPr>
              <w:t xml:space="preserve">Duplicate records</w:t>
            </w:r>
          </w:p>
        </w:tc>
        <w:tc>
          <w:tcPr>
            <w:tcW w:type="dxa" w:w="6300"/>
            <w:tcMar>
              <w:top w:type="dxa" w:w="80"/>
              <w:left w:type="dxa" w:w="120"/>
              <w:bottom w:type="dxa" w:w="80"/>
              <w:right w:type="dxa" w:w="120"/>
            </w:tcMar>
            <w:vAlign w:val="center"/>
          </w:tcPr>
          <w:p>
            <w:pPr>
              <w:jc w:val="left"/>
            </w:pPr>
            <w:r>
              <w:rPr>
                <w:b w:val="false"/>
                <w:bCs w:val="false"/>
              </w:rPr>
              <w:t xml:space="preserve">0 duplicate rows; 0 duplicate Customer_IDs</w:t>
            </w:r>
          </w:p>
        </w:tc>
      </w:tr>
    </w:tbl>
    <w:p>
      <w:pPr>
        <w:spacing w:after="200"/>
      </w:pPr>
    </w:p>
    <w:p>
      <w:pPr>
        <w:pStyle w:val="Heading2"/>
        <w:spacing w:after="120" w:before="240"/>
      </w:pPr>
      <w:r>
        <w:t xml:space="preserve">Feature ranges (sanity check against expected bounds)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00"/>
      </w:tblGrid>
      <w:tr>
        <w:trPr>
          <w:tblHeader/>
        </w:trPr>
        <w:tc>
          <w:tcPr>
            <w:tcW w:type="dxa" w:w="2600"/>
            <w:shd w:fill="D9E2F3" w:val="clear"/>
            <w:tcMar>
              <w:top w:type="dxa" w:w="80"/>
              <w:left w:type="dxa" w:w="120"/>
              <w:bottom w:type="dxa" w:w="80"/>
              <w:right w:type="dxa" w:w="120"/>
            </w:tcMar>
            <w:vAlign w:val="center"/>
          </w:tcPr>
          <w:p>
            <w:pPr>
              <w:jc w:val="left"/>
            </w:pPr>
            <w:r>
              <w:rPr>
                <w:b/>
                <w:bCs/>
              </w:rPr>
              <w:t xml:space="preserve">Field</w:t>
            </w:r>
          </w:p>
        </w:tc>
        <w:tc>
          <w:tcPr>
            <w:tcW w:type="dxa" w:w="2600"/>
            <w:shd w:fill="D9E2F3" w:val="clear"/>
            <w:tcMar>
              <w:top w:type="dxa" w:w="80"/>
              <w:left w:type="dxa" w:w="120"/>
              <w:bottom w:type="dxa" w:w="80"/>
              <w:right w:type="dxa" w:w="120"/>
            </w:tcMar>
            <w:vAlign w:val="center"/>
          </w:tcPr>
          <w:p>
            <w:pPr>
              <w:jc w:val="left"/>
            </w:pPr>
            <w:r>
              <w:rPr>
                <w:b/>
                <w:bCs/>
              </w:rPr>
              <w:t xml:space="preserve">Observed Range</w:t>
            </w:r>
          </w:p>
        </w:tc>
        <w:tc>
          <w:tcPr>
            <w:tcW w:type="dxa" w:w="4300"/>
            <w:shd w:fill="D9E2F3" w:val="clear"/>
            <w:tcMar>
              <w:top w:type="dxa" w:w="80"/>
              <w:left w:type="dxa" w:w="120"/>
              <w:bottom w:type="dxa" w:w="80"/>
              <w:right w:type="dxa" w:w="120"/>
            </w:tcMar>
            <w:vAlign w:val="center"/>
          </w:tcPr>
          <w:p>
            <w:pPr>
              <w:jc w:val="left"/>
            </w:pPr>
            <w:r>
              <w:rPr>
                <w:b/>
                <w:bCs/>
              </w:rPr>
              <w:t xml:space="preserve">Notes</w:t>
            </w:r>
          </w:p>
        </w:tc>
      </w:tr>
      <w:tr>
        <w:tc>
          <w:tcPr>
            <w:tcW w:type="dxa" w:w="2600"/>
            <w:tcMar>
              <w:top w:type="dxa" w:w="80"/>
              <w:left w:type="dxa" w:w="120"/>
              <w:bottom w:type="dxa" w:w="80"/>
              <w:right w:type="dxa" w:w="120"/>
            </w:tcMar>
            <w:vAlign w:val="center"/>
          </w:tcPr>
          <w:p>
            <w:pPr>
              <w:jc w:val="left"/>
            </w:pPr>
            <w:r>
              <w:rPr>
                <w:b w:val="false"/>
                <w:bCs w:val="false"/>
              </w:rPr>
              <w:t xml:space="preserve">Age</w:t>
            </w:r>
          </w:p>
        </w:tc>
        <w:tc>
          <w:tcPr>
            <w:tcW w:type="dxa" w:w="2600"/>
            <w:tcMar>
              <w:top w:type="dxa" w:w="80"/>
              <w:left w:type="dxa" w:w="120"/>
              <w:bottom w:type="dxa" w:w="80"/>
              <w:right w:type="dxa" w:w="120"/>
            </w:tcMar>
            <w:vAlign w:val="center"/>
          </w:tcPr>
          <w:p>
            <w:pPr>
              <w:jc w:val="left"/>
            </w:pPr>
            <w:r>
              <w:rPr>
                <w:b w:val="false"/>
                <w:bCs w:val="false"/>
              </w:rPr>
              <w:t xml:space="preserve">18 – 74</w:t>
            </w:r>
          </w:p>
        </w:tc>
        <w:tc>
          <w:tcPr>
            <w:tcW w:type="dxa" w:w="4300"/>
            <w:tcMar>
              <w:top w:type="dxa" w:w="80"/>
              <w:left w:type="dxa" w:w="120"/>
              <w:bottom w:type="dxa" w:w="80"/>
              <w:right w:type="dxa" w:w="120"/>
            </w:tcMar>
            <w:vAlign w:val="center"/>
          </w:tcPr>
          <w:p>
            <w:pPr>
              <w:jc w:val="left"/>
            </w:pPr>
            <w:r>
              <w:rPr>
                <w:b w:val="false"/>
                <w:bCs w:val="false"/>
              </w:rPr>
              <w:t xml:space="preserve">Within plausible bounds</w:t>
            </w:r>
          </w:p>
        </w:tc>
      </w:tr>
      <w:tr>
        <w:tc>
          <w:tcPr>
            <w:tcW w:type="dxa" w:w="2600"/>
            <w:shd w:fill="F2F2F2" w:val="clear"/>
            <w:tcMar>
              <w:top w:type="dxa" w:w="80"/>
              <w:left w:type="dxa" w:w="120"/>
              <w:bottom w:type="dxa" w:w="80"/>
              <w:right w:type="dxa" w:w="120"/>
            </w:tcMar>
            <w:vAlign w:val="center"/>
          </w:tcPr>
          <w:p>
            <w:pPr>
              <w:jc w:val="left"/>
            </w:pPr>
            <w:r>
              <w:rPr>
                <w:b w:val="false"/>
                <w:bCs w:val="false"/>
              </w:rPr>
              <w:t xml:space="preserve">Credit_Score</w:t>
            </w:r>
          </w:p>
        </w:tc>
        <w:tc>
          <w:tcPr>
            <w:tcW w:type="dxa" w:w="2600"/>
            <w:shd w:fill="F2F2F2" w:val="clear"/>
            <w:tcMar>
              <w:top w:type="dxa" w:w="80"/>
              <w:left w:type="dxa" w:w="120"/>
              <w:bottom w:type="dxa" w:w="80"/>
              <w:right w:type="dxa" w:w="120"/>
            </w:tcMar>
            <w:vAlign w:val="center"/>
          </w:tcPr>
          <w:p>
            <w:pPr>
              <w:jc w:val="left"/>
            </w:pPr>
            <w:r>
              <w:rPr>
                <w:b w:val="false"/>
                <w:bCs w:val="false"/>
              </w:rPr>
              <w:t xml:space="preserve">301 – 847</w:t>
            </w:r>
          </w:p>
        </w:tc>
        <w:tc>
          <w:tcPr>
            <w:tcW w:type="dxa" w:w="4300"/>
            <w:shd w:fill="F2F2F2" w:val="clear"/>
            <w:tcMar>
              <w:top w:type="dxa" w:w="80"/>
              <w:left w:type="dxa" w:w="120"/>
              <w:bottom w:type="dxa" w:w="80"/>
              <w:right w:type="dxa" w:w="120"/>
            </w:tcMar>
            <w:vAlign w:val="center"/>
          </w:tcPr>
          <w:p>
            <w:pPr>
              <w:jc w:val="left"/>
            </w:pPr>
            <w:r>
              <w:rPr>
                <w:b w:val="false"/>
                <w:bCs w:val="false"/>
              </w:rPr>
              <w:t xml:space="preserve">Within the standard 300–850 scale</w:t>
            </w:r>
          </w:p>
        </w:tc>
      </w:tr>
      <w:tr>
        <w:tc>
          <w:tcPr>
            <w:tcW w:type="dxa" w:w="2600"/>
            <w:tcMar>
              <w:top w:type="dxa" w:w="80"/>
              <w:left w:type="dxa" w:w="120"/>
              <w:bottom w:type="dxa" w:w="80"/>
              <w:right w:type="dxa" w:w="120"/>
            </w:tcMar>
            <w:vAlign w:val="center"/>
          </w:tcPr>
          <w:p>
            <w:pPr>
              <w:jc w:val="left"/>
            </w:pPr>
            <w:r>
              <w:rPr>
                <w:b w:val="false"/>
                <w:bCs w:val="false"/>
              </w:rPr>
              <w:t xml:space="preserve">Credit_Utilization</w:t>
            </w:r>
          </w:p>
        </w:tc>
        <w:tc>
          <w:tcPr>
            <w:tcW w:type="dxa" w:w="2600"/>
            <w:tcMar>
              <w:top w:type="dxa" w:w="80"/>
              <w:left w:type="dxa" w:w="120"/>
              <w:bottom w:type="dxa" w:w="80"/>
              <w:right w:type="dxa" w:w="120"/>
            </w:tcMar>
            <w:vAlign w:val="center"/>
          </w:tcPr>
          <w:p>
            <w:pPr>
              <w:jc w:val="left"/>
            </w:pPr>
            <w:r>
              <w:rPr>
                <w:b w:val="false"/>
                <w:bCs w:val="false"/>
              </w:rPr>
              <w:t xml:space="preserve">0.05 – 1.026</w:t>
            </w:r>
          </w:p>
        </w:tc>
        <w:tc>
          <w:tcPr>
            <w:tcW w:type="dxa" w:w="4300"/>
            <w:tcMar>
              <w:top w:type="dxa" w:w="80"/>
              <w:left w:type="dxa" w:w="120"/>
              <w:bottom w:type="dxa" w:w="80"/>
              <w:right w:type="dxa" w:w="120"/>
            </w:tcMar>
            <w:vAlign w:val="center"/>
          </w:tcPr>
          <w:p>
            <w:pPr>
              <w:jc w:val="left"/>
            </w:pPr>
            <w:r>
              <w:rPr>
                <w:b w:val="false"/>
                <w:bCs w:val="false"/>
              </w:rPr>
              <w:t xml:space="preserve">4 records exceed 1.0 (100%) — see Section 4</w:t>
            </w:r>
          </w:p>
        </w:tc>
      </w:tr>
      <w:tr>
        <w:tc>
          <w:tcPr>
            <w:tcW w:type="dxa" w:w="2600"/>
            <w:shd w:fill="F2F2F2" w:val="clear"/>
            <w:tcMar>
              <w:top w:type="dxa" w:w="80"/>
              <w:left w:type="dxa" w:w="120"/>
              <w:bottom w:type="dxa" w:w="80"/>
              <w:right w:type="dxa" w:w="120"/>
            </w:tcMar>
            <w:vAlign w:val="center"/>
          </w:tcPr>
          <w:p>
            <w:pPr>
              <w:jc w:val="left"/>
            </w:pPr>
            <w:r>
              <w:rPr>
                <w:b w:val="false"/>
                <w:bCs w:val="false"/>
              </w:rPr>
              <w:t xml:space="preserve">Debt_to_Income_Ratio</w:t>
            </w:r>
          </w:p>
        </w:tc>
        <w:tc>
          <w:tcPr>
            <w:tcW w:type="dxa" w:w="2600"/>
            <w:shd w:fill="F2F2F2" w:val="clear"/>
            <w:tcMar>
              <w:top w:type="dxa" w:w="80"/>
              <w:left w:type="dxa" w:w="120"/>
              <w:bottom w:type="dxa" w:w="80"/>
              <w:right w:type="dxa" w:w="120"/>
            </w:tcMar>
            <w:vAlign w:val="center"/>
          </w:tcPr>
          <w:p>
            <w:pPr>
              <w:jc w:val="left"/>
            </w:pPr>
            <w:r>
              <w:rPr>
                <w:b w:val="false"/>
                <w:bCs w:val="false"/>
              </w:rPr>
              <w:t xml:space="preserve">0.10 – 0.55</w:t>
            </w:r>
          </w:p>
        </w:tc>
        <w:tc>
          <w:tcPr>
            <w:tcW w:type="dxa" w:w="4300"/>
            <w:shd w:fill="F2F2F2" w:val="clear"/>
            <w:tcMar>
              <w:top w:type="dxa" w:w="80"/>
              <w:left w:type="dxa" w:w="120"/>
              <w:bottom w:type="dxa" w:w="80"/>
              <w:right w:type="dxa" w:w="120"/>
            </w:tcMar>
            <w:vAlign w:val="center"/>
          </w:tcPr>
          <w:p>
            <w:pPr>
              <w:jc w:val="left"/>
            </w:pPr>
            <w:r>
              <w:rPr>
                <w:b w:val="false"/>
                <w:bCs w:val="false"/>
              </w:rPr>
              <w:t xml:space="preserve">Within plausible bounds</w:t>
            </w:r>
          </w:p>
        </w:tc>
      </w:tr>
      <w:tr>
        <w:tc>
          <w:tcPr>
            <w:tcW w:type="dxa" w:w="2600"/>
            <w:tcMar>
              <w:top w:type="dxa" w:w="80"/>
              <w:left w:type="dxa" w:w="120"/>
              <w:bottom w:type="dxa" w:w="80"/>
              <w:right w:type="dxa" w:w="120"/>
            </w:tcMar>
            <w:vAlign w:val="center"/>
          </w:tcPr>
          <w:p>
            <w:pPr>
              <w:jc w:val="left"/>
            </w:pPr>
            <w:r>
              <w:rPr>
                <w:b w:val="false"/>
                <w:bCs w:val="false"/>
              </w:rPr>
              <w:t xml:space="preserve">Account_Tenure</w:t>
            </w:r>
          </w:p>
        </w:tc>
        <w:tc>
          <w:tcPr>
            <w:tcW w:type="dxa" w:w="2600"/>
            <w:tcMar>
              <w:top w:type="dxa" w:w="80"/>
              <w:left w:type="dxa" w:w="120"/>
              <w:bottom w:type="dxa" w:w="80"/>
              <w:right w:type="dxa" w:w="120"/>
            </w:tcMar>
            <w:vAlign w:val="center"/>
          </w:tcPr>
          <w:p>
            <w:pPr>
              <w:jc w:val="left"/>
            </w:pPr>
            <w:r>
              <w:rPr>
                <w:b w:val="false"/>
                <w:bCs w:val="false"/>
              </w:rPr>
              <w:t xml:space="preserve">0 – 19 years</w:t>
            </w:r>
          </w:p>
        </w:tc>
        <w:tc>
          <w:tcPr>
            <w:tcW w:type="dxa" w:w="4300"/>
            <w:tcMar>
              <w:top w:type="dxa" w:w="80"/>
              <w:left w:type="dxa" w:w="120"/>
              <w:bottom w:type="dxa" w:w="80"/>
              <w:right w:type="dxa" w:w="120"/>
            </w:tcMar>
            <w:vAlign w:val="center"/>
          </w:tcPr>
          <w:p>
            <w:pPr>
              <w:jc w:val="left"/>
            </w:pPr>
            <w:r>
              <w:rPr>
                <w:b w:val="false"/>
                <w:bCs w:val="false"/>
              </w:rPr>
              <w:t xml:space="preserve">Within plausible bounds</w:t>
            </w:r>
          </w:p>
        </w:tc>
      </w:tr>
    </w:tbl>
    <w:p>
      <w:pPr>
        <w:pStyle w:val="Heading1"/>
        <w:spacing w:after="150" w:before="300"/>
      </w:pPr>
      <w:r>
        <w:t xml:space="preserve">3. Missing Data Analysis</w:t>
      </w:r>
    </w:p>
    <w:p>
      <w:pPr>
        <w:spacing w:after="160"/>
      </w:pPr>
      <w:r>
        <w:t xml:space="preserve">Three fields contain missing values. None of the categorical or target fields have missing entries.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700"/>
      </w:tblGrid>
      <w:tr>
        <w:trPr>
          <w:tblHeader/>
        </w:trPr>
        <w:tc>
          <w:tcPr>
            <w:tcW w:type="dxa" w:w="2200"/>
            <w:shd w:fill="D9E2F3" w:val="clear"/>
            <w:tcMar>
              <w:top w:type="dxa" w:w="80"/>
              <w:left w:type="dxa" w:w="120"/>
              <w:bottom w:type="dxa" w:w="80"/>
              <w:right w:type="dxa" w:w="120"/>
            </w:tcMar>
            <w:vAlign w:val="center"/>
          </w:tcPr>
          <w:p>
            <w:pPr>
              <w:jc w:val="left"/>
            </w:pPr>
            <w:r>
              <w:rPr>
                <w:b/>
                <w:bCs/>
              </w:rPr>
              <w:t xml:space="preserve">Field</w:t>
            </w:r>
          </w:p>
        </w:tc>
        <w:tc>
          <w:tcPr>
            <w:tcW w:type="dxa" w:w="1800"/>
            <w:shd w:fill="D9E2F3" w:val="clear"/>
            <w:tcMar>
              <w:top w:type="dxa" w:w="80"/>
              <w:left w:type="dxa" w:w="120"/>
              <w:bottom w:type="dxa" w:w="80"/>
              <w:right w:type="dxa" w:w="120"/>
            </w:tcMar>
            <w:vAlign w:val="center"/>
          </w:tcPr>
          <w:p>
            <w:pPr>
              <w:jc w:val="left"/>
            </w:pPr>
            <w:r>
              <w:rPr>
                <w:b/>
                <w:bCs/>
              </w:rPr>
              <w:t xml:space="preserve">Missing Count</w:t>
            </w:r>
          </w:p>
        </w:tc>
        <w:tc>
          <w:tcPr>
            <w:tcW w:type="dxa" w:w="1800"/>
            <w:shd w:fill="D9E2F3" w:val="clear"/>
            <w:tcMar>
              <w:top w:type="dxa" w:w="80"/>
              <w:left w:type="dxa" w:w="120"/>
              <w:bottom w:type="dxa" w:w="80"/>
              <w:right w:type="dxa" w:w="120"/>
            </w:tcMar>
            <w:vAlign w:val="center"/>
          </w:tcPr>
          <w:p>
            <w:pPr>
              <w:jc w:val="left"/>
            </w:pPr>
            <w:r>
              <w:rPr>
                <w:b/>
                <w:bCs/>
              </w:rPr>
              <w:t xml:space="preserve">% of Records</w:t>
            </w:r>
          </w:p>
        </w:tc>
        <w:tc>
          <w:tcPr>
            <w:tcW w:type="dxa" w:w="3700"/>
            <w:shd w:fill="D9E2F3" w:val="clear"/>
            <w:tcMar>
              <w:top w:type="dxa" w:w="80"/>
              <w:left w:type="dxa" w:w="120"/>
              <w:bottom w:type="dxa" w:w="80"/>
              <w:right w:type="dxa" w:w="120"/>
            </w:tcMar>
            <w:vAlign w:val="center"/>
          </w:tcPr>
          <w:p>
            <w:pPr>
              <w:jc w:val="left"/>
            </w:pPr>
            <w:r>
              <w:rPr>
                <w:b/>
                <w:bCs/>
              </w:rPr>
              <w:t xml:space="preserve">Recommended Treatment</w:t>
            </w:r>
          </w:p>
        </w:tc>
      </w:tr>
      <w:tr>
        <w:tc>
          <w:tcPr>
            <w:tcW w:type="dxa" w:w="2200"/>
            <w:tcMar>
              <w:top w:type="dxa" w:w="80"/>
              <w:left w:type="dxa" w:w="120"/>
              <w:bottom w:type="dxa" w:w="80"/>
              <w:right w:type="dxa" w:w="120"/>
            </w:tcMar>
            <w:vAlign w:val="center"/>
          </w:tcPr>
          <w:p>
            <w:pPr>
              <w:jc w:val="left"/>
            </w:pPr>
            <w:r>
              <w:rPr>
                <w:b w:val="false"/>
                <w:bCs w:val="false"/>
              </w:rPr>
              <w:t xml:space="preserve">Income</w:t>
            </w:r>
          </w:p>
        </w:tc>
        <w:tc>
          <w:tcPr>
            <w:tcW w:type="dxa" w:w="1800"/>
            <w:tcMar>
              <w:top w:type="dxa" w:w="80"/>
              <w:left w:type="dxa" w:w="120"/>
              <w:bottom w:type="dxa" w:w="80"/>
              <w:right w:type="dxa" w:w="120"/>
            </w:tcMar>
            <w:vAlign w:val="center"/>
          </w:tcPr>
          <w:p>
            <w:pPr>
              <w:jc w:val="left"/>
            </w:pPr>
            <w:r>
              <w:rPr>
                <w:b w:val="false"/>
                <w:bCs w:val="false"/>
              </w:rPr>
              <w:t xml:space="preserve">39</w:t>
            </w:r>
          </w:p>
        </w:tc>
        <w:tc>
          <w:tcPr>
            <w:tcW w:type="dxa" w:w="1800"/>
            <w:tcMar>
              <w:top w:type="dxa" w:w="80"/>
              <w:left w:type="dxa" w:w="120"/>
              <w:bottom w:type="dxa" w:w="80"/>
              <w:right w:type="dxa" w:w="120"/>
            </w:tcMar>
            <w:vAlign w:val="center"/>
          </w:tcPr>
          <w:p>
            <w:pPr>
              <w:jc w:val="left"/>
            </w:pPr>
            <w:r>
              <w:rPr>
                <w:b w:val="false"/>
                <w:bCs w:val="false"/>
              </w:rPr>
              <w:t xml:space="preserve">7.8%</w:t>
            </w:r>
          </w:p>
        </w:tc>
        <w:tc>
          <w:tcPr>
            <w:tcW w:type="dxa" w:w="3700"/>
            <w:tcMar>
              <w:top w:type="dxa" w:w="80"/>
              <w:left w:type="dxa" w:w="120"/>
              <w:bottom w:type="dxa" w:w="80"/>
              <w:right w:type="dxa" w:w="120"/>
            </w:tcMar>
            <w:vAlign w:val="center"/>
          </w:tcPr>
          <w:p>
            <w:pPr>
              <w:jc w:val="left"/>
            </w:pPr>
            <w:r>
              <w:rPr>
                <w:b w:val="false"/>
                <w:bCs w:val="false"/>
              </w:rPr>
              <w:t xml:space="preserve">Median imputation (numeric, moderately right-skewed)</w:t>
            </w:r>
          </w:p>
        </w:tc>
      </w:tr>
      <w:tr>
        <w:tc>
          <w:tcPr>
            <w:tcW w:type="dxa" w:w="2200"/>
            <w:shd w:fill="F2F2F2" w:val="clear"/>
            <w:tcMar>
              <w:top w:type="dxa" w:w="80"/>
              <w:left w:type="dxa" w:w="120"/>
              <w:bottom w:type="dxa" w:w="80"/>
              <w:right w:type="dxa" w:w="120"/>
            </w:tcMar>
            <w:vAlign w:val="center"/>
          </w:tcPr>
          <w:p>
            <w:pPr>
              <w:jc w:val="left"/>
            </w:pPr>
            <w:r>
              <w:rPr>
                <w:b w:val="false"/>
                <w:bCs w:val="false"/>
              </w:rPr>
              <w:t xml:space="preserve">Loan_Balance</w:t>
            </w:r>
          </w:p>
        </w:tc>
        <w:tc>
          <w:tcPr>
            <w:tcW w:type="dxa" w:w="1800"/>
            <w:shd w:fill="F2F2F2" w:val="clear"/>
            <w:tcMar>
              <w:top w:type="dxa" w:w="80"/>
              <w:left w:type="dxa" w:w="120"/>
              <w:bottom w:type="dxa" w:w="80"/>
              <w:right w:type="dxa" w:w="120"/>
            </w:tcMar>
            <w:vAlign w:val="center"/>
          </w:tcPr>
          <w:p>
            <w:pPr>
              <w:jc w:val="left"/>
            </w:pPr>
            <w:r>
              <w:rPr>
                <w:b w:val="false"/>
                <w:bCs w:val="false"/>
              </w:rPr>
              <w:t xml:space="preserve">29</w:t>
            </w:r>
          </w:p>
        </w:tc>
        <w:tc>
          <w:tcPr>
            <w:tcW w:type="dxa" w:w="1800"/>
            <w:shd w:fill="F2F2F2" w:val="clear"/>
            <w:tcMar>
              <w:top w:type="dxa" w:w="80"/>
              <w:left w:type="dxa" w:w="120"/>
              <w:bottom w:type="dxa" w:w="80"/>
              <w:right w:type="dxa" w:w="120"/>
            </w:tcMar>
            <w:vAlign w:val="center"/>
          </w:tcPr>
          <w:p>
            <w:pPr>
              <w:jc w:val="left"/>
            </w:pPr>
            <w:r>
              <w:rPr>
                <w:b w:val="false"/>
                <w:bCs w:val="false"/>
              </w:rPr>
              <w:t xml:space="preserve">5.8%</w:t>
            </w:r>
          </w:p>
        </w:tc>
        <w:tc>
          <w:tcPr>
            <w:tcW w:type="dxa" w:w="3700"/>
            <w:shd w:fill="F2F2F2" w:val="clear"/>
            <w:tcMar>
              <w:top w:type="dxa" w:w="80"/>
              <w:left w:type="dxa" w:w="120"/>
              <w:bottom w:type="dxa" w:w="80"/>
              <w:right w:type="dxa" w:w="120"/>
            </w:tcMar>
            <w:vAlign w:val="center"/>
          </w:tcPr>
          <w:p>
            <w:pPr>
              <w:jc w:val="left"/>
            </w:pPr>
            <w:r>
              <w:rPr>
                <w:b w:val="false"/>
                <w:bCs w:val="false"/>
              </w:rPr>
              <w:t xml:space="preserve">Median imputation; flag for review given pattern below</w:t>
            </w:r>
          </w:p>
        </w:tc>
      </w:tr>
      <w:tr>
        <w:tc>
          <w:tcPr>
            <w:tcW w:type="dxa" w:w="2200"/>
            <w:tcMar>
              <w:top w:type="dxa" w:w="80"/>
              <w:left w:type="dxa" w:w="120"/>
              <w:bottom w:type="dxa" w:w="80"/>
              <w:right w:type="dxa" w:w="120"/>
            </w:tcMar>
            <w:vAlign w:val="center"/>
          </w:tcPr>
          <w:p>
            <w:pPr>
              <w:jc w:val="left"/>
            </w:pPr>
            <w:r>
              <w:rPr>
                <w:b w:val="false"/>
                <w:bCs w:val="false"/>
              </w:rPr>
              <w:t xml:space="preserve">Credit_Score</w:t>
            </w:r>
          </w:p>
        </w:tc>
        <w:tc>
          <w:tcPr>
            <w:tcW w:type="dxa" w:w="1800"/>
            <w:tcMar>
              <w:top w:type="dxa" w:w="80"/>
              <w:left w:type="dxa" w:w="120"/>
              <w:bottom w:type="dxa" w:w="80"/>
              <w:right w:type="dxa" w:w="120"/>
            </w:tcMar>
            <w:vAlign w:val="center"/>
          </w:tcPr>
          <w:p>
            <w:pPr>
              <w:jc w:val="left"/>
            </w:pPr>
            <w:r>
              <w:rPr>
                <w:b w:val="false"/>
                <w:bCs w:val="false"/>
              </w:rPr>
              <w:t xml:space="preserve">2</w:t>
            </w:r>
          </w:p>
        </w:tc>
        <w:tc>
          <w:tcPr>
            <w:tcW w:type="dxa" w:w="1800"/>
            <w:tcMar>
              <w:top w:type="dxa" w:w="80"/>
              <w:left w:type="dxa" w:w="120"/>
              <w:bottom w:type="dxa" w:w="80"/>
              <w:right w:type="dxa" w:w="120"/>
            </w:tcMar>
            <w:vAlign w:val="center"/>
          </w:tcPr>
          <w:p>
            <w:pPr>
              <w:jc w:val="left"/>
            </w:pPr>
            <w:r>
              <w:rPr>
                <w:b w:val="false"/>
                <w:bCs w:val="false"/>
              </w:rPr>
              <w:t xml:space="preserve">0.4%</w:t>
            </w:r>
          </w:p>
        </w:tc>
        <w:tc>
          <w:tcPr>
            <w:tcW w:type="dxa" w:w="3700"/>
            <w:tcMar>
              <w:top w:type="dxa" w:w="80"/>
              <w:left w:type="dxa" w:w="120"/>
              <w:bottom w:type="dxa" w:w="80"/>
              <w:right w:type="dxa" w:w="120"/>
            </w:tcMar>
            <w:vAlign w:val="center"/>
          </w:tcPr>
          <w:p>
            <w:pPr>
              <w:jc w:val="left"/>
            </w:pPr>
            <w:r>
              <w:rPr>
                <w:b w:val="false"/>
                <w:bCs w:val="false"/>
              </w:rPr>
              <w:t xml:space="preserve">Median imputation (negligible volume)</w:t>
            </w:r>
          </w:p>
        </w:tc>
      </w:tr>
    </w:tbl>
    <w:p>
      <w:pPr>
        <w:spacing w:after="200"/>
      </w:pPr>
    </w:p>
    <w:p>
      <w:pPr>
        <w:spacing w:after="160"/>
      </w:pPr>
      <w:r>
        <w:t xml:space="preserve">Per the Imputation Guide, median was chosen over mean for all three fields because each shows meaningful spread and the potential for skew (e.g., Income ranges from ~$15K to ~$200K); median is more robust to that spread than a mean would be.</w:t>
      </w:r>
    </w:p>
    <w:p>
      <w:pPr>
        <w:pStyle w:val="Heading2"/>
        <w:spacing w:after="120" w:before="240"/>
      </w:pPr>
      <w:r>
        <w:t xml:space="preserve">Missingness pattern check</w:t>
      </w:r>
    </w:p>
    <w:p>
      <w:pPr>
        <w:spacing w:after="160"/>
      </w:pPr>
      <w:r>
        <w:t xml:space="preserve">Missingness was cross-checked against the delinquency label to rule out an obvious Missing Not at Random (MNAR) pattern:</w:t>
      </w:r>
    </w:p>
    <w:p>
      <w:pPr>
        <w:pStyle w:val="ListParagraph"/>
        <w:numPr>
          <w:ilvl w:val="0"/>
          <w:numId w:val="1"/>
        </w:numPr>
        <w:spacing w:after="80"/>
      </w:pPr>
      <w:r>
        <w:t xml:space="preserve">Income missing: delinquency rate is 12.8% among those records vs. 16.3% overall — no evidence income-missingness concentrates in delinquent accounts.</w:t>
      </w:r>
    </w:p>
    <w:p>
      <w:pPr>
        <w:pStyle w:val="ListParagraph"/>
        <w:numPr>
          <w:ilvl w:val="0"/>
          <w:numId w:val="1"/>
        </w:numPr>
        <w:spacing w:after="80"/>
      </w:pPr>
      <w:r>
        <w:t xml:space="preserve">Loan_Balance missing: delinquency rate is 24.1% among those records vs. 15.5% for complete records — a notable gap, though based on only 29 records, so it should be treated as a lead to monitor after imputation rather than a confirmed pattern.</w:t>
      </w:r>
    </w:p>
    <w:p>
      <w:pPr>
        <w:pStyle w:val="Heading1"/>
        <w:spacing w:after="150" w:before="300"/>
      </w:pPr>
      <w:r>
        <w:t xml:space="preserve">4. Key Findings and Risk Indicators</w:t>
      </w:r>
    </w:p>
    <w:p>
      <w:pPr>
        <w:pStyle w:val="Heading2"/>
        <w:spacing w:after="120" w:before="240"/>
      </w:pPr>
      <w:r>
        <w:t xml:space="preserve">4.1 Data quality issues identified</w:t>
      </w:r>
    </w:p>
    <w:p>
      <w:pPr>
        <w:pStyle w:val="ListParagraph"/>
        <w:numPr>
          <w:ilvl w:val="0"/>
          <w:numId w:val="1"/>
        </w:numPr>
        <w:spacing w:after="80"/>
      </w:pPr>
      <w:r>
        <w:t xml:space="preserve">Employment_Status is inconsistently encoded: the same category appears as “Employed”, “employed”, and “EMP” (240 records once normalized), alongside “Unemployed” (93), “retired” (87), and “Self-employed” (80). This must be standardized before it is used as a model feature or segmentation variable.</w:t>
      </w:r>
    </w:p>
    <w:p>
      <w:pPr>
        <w:pStyle w:val="ListParagraph"/>
        <w:numPr>
          <w:ilvl w:val="0"/>
          <w:numId w:val="1"/>
        </w:numPr>
        <w:spacing w:after="80"/>
      </w:pPr>
      <w:r>
        <w:t xml:space="preserve">4 records (0.8%) show Credit_Utilization above 100% (up to 102.6%), which is out of range for a utilization ratio and should be capped, flagged, or investigated as a data entry issue rather than dropped outright.</w:t>
      </w:r>
    </w:p>
    <w:p>
      <w:pPr>
        <w:pStyle w:val="ListParagraph"/>
        <w:numPr>
          <w:ilvl w:val="0"/>
          <w:numId w:val="1"/>
        </w:numPr>
        <w:spacing w:after="80"/>
      </w:pPr>
      <w:r>
        <w:t xml:space="preserve">No duplicate customers and no out-of-range values were found for Age, Credit_Score, or Debt_to_Income_Ratio.</w:t>
      </w:r>
    </w:p>
    <w:p>
      <w:pPr>
        <w:pStyle w:val="Heading2"/>
        <w:spacing w:after="120" w:before="240"/>
      </w:pPr>
      <w:r>
        <w:t xml:space="preserve">4.2 Correlation with delinquency</w:t>
      </w:r>
    </w:p>
    <w:p>
      <w:pPr>
        <w:spacing w:after="160"/>
      </w:pPr>
      <w:r>
        <w:t xml:space="preserve">Pearson correlation was computed between each numeric feature and Delinquent_Account. Contrary to the assumption that any single factor would dominate, no individual numeric feature shows a strong linear relationship with delinquency in this dataset — all correlations fall below 0.05 in magnitude: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600"/>
        <w:gridCol w:w="4900"/>
      </w:tblGrid>
      <w:tr>
        <w:trPr>
          <w:tblHeader/>
        </w:trPr>
        <w:tc>
          <w:tcPr>
            <w:tcW w:type="dxa" w:w="4600"/>
            <w:shd w:fill="D9E2F3" w:val="clear"/>
            <w:tcMar>
              <w:top w:type="dxa" w:w="80"/>
              <w:left w:type="dxa" w:w="120"/>
              <w:bottom w:type="dxa" w:w="80"/>
              <w:right w:type="dxa" w:w="120"/>
            </w:tcMar>
            <w:vAlign w:val="center"/>
          </w:tcPr>
          <w:p>
            <w:pPr>
              <w:jc w:val="left"/>
            </w:pPr>
            <w:r>
              <w:rPr>
                <w:b/>
                <w:bCs/>
              </w:rPr>
              <w:t xml:space="preserve">Feature</w:t>
            </w:r>
          </w:p>
        </w:tc>
        <w:tc>
          <w:tcPr>
            <w:tcW w:type="dxa" w:w="4900"/>
            <w:shd w:fill="D9E2F3" w:val="clear"/>
            <w:tcMar>
              <w:top w:type="dxa" w:w="80"/>
              <w:left w:type="dxa" w:w="120"/>
              <w:bottom w:type="dxa" w:w="80"/>
              <w:right w:type="dxa" w:w="120"/>
            </w:tcMar>
            <w:vAlign w:val="center"/>
          </w:tcPr>
          <w:p>
            <w:pPr>
              <w:jc w:val="left"/>
            </w:pPr>
            <w:r>
              <w:rPr>
                <w:b/>
                <w:bCs/>
              </w:rPr>
              <w:t xml:space="preserve">Correlation with Delinquent_Account</w:t>
            </w:r>
          </w:p>
        </w:tc>
      </w:tr>
      <w:tr>
        <w:tc>
          <w:tcPr>
            <w:tcW w:type="dxa" w:w="4600"/>
            <w:tcMar>
              <w:top w:type="dxa" w:w="80"/>
              <w:left w:type="dxa" w:w="120"/>
              <w:bottom w:type="dxa" w:w="80"/>
              <w:right w:type="dxa" w:w="120"/>
            </w:tcMar>
            <w:vAlign w:val="center"/>
          </w:tcPr>
          <w:p>
            <w:pPr>
              <w:jc w:val="left"/>
            </w:pPr>
            <w:r>
              <w:rPr>
                <w:b w:val="false"/>
                <w:bCs w:val="false"/>
              </w:rPr>
              <w:t xml:space="preserve">Income</w:t>
            </w:r>
          </w:p>
        </w:tc>
        <w:tc>
          <w:tcPr>
            <w:tcW w:type="dxa" w:w="4900"/>
            <w:tcMar>
              <w:top w:type="dxa" w:w="80"/>
              <w:left w:type="dxa" w:w="120"/>
              <w:bottom w:type="dxa" w:w="80"/>
              <w:right w:type="dxa" w:w="120"/>
            </w:tcMar>
            <w:vAlign w:val="center"/>
          </w:tcPr>
          <w:p>
            <w:pPr>
              <w:jc w:val="left"/>
            </w:pPr>
            <w:r>
              <w:rPr>
                <w:b w:val="false"/>
                <w:bCs w:val="false"/>
              </w:rPr>
              <w:t xml:space="preserve">0.045</w:t>
            </w:r>
          </w:p>
        </w:tc>
      </w:tr>
      <w:tr>
        <w:tc>
          <w:tcPr>
            <w:tcW w:type="dxa" w:w="4600"/>
            <w:shd w:fill="F2F2F2" w:val="clear"/>
            <w:tcMar>
              <w:top w:type="dxa" w:w="80"/>
              <w:left w:type="dxa" w:w="120"/>
              <w:bottom w:type="dxa" w:w="80"/>
              <w:right w:type="dxa" w:w="120"/>
            </w:tcMar>
            <w:vAlign w:val="center"/>
          </w:tcPr>
          <w:p>
            <w:pPr>
              <w:jc w:val="left"/>
            </w:pPr>
            <w:r>
              <w:rPr>
                <w:b w:val="false"/>
                <w:bCs w:val="false"/>
              </w:rPr>
              <w:t xml:space="preserve">Credit_Score</w:t>
            </w:r>
          </w:p>
        </w:tc>
        <w:tc>
          <w:tcPr>
            <w:tcW w:type="dxa" w:w="4900"/>
            <w:shd w:fill="F2F2F2" w:val="clear"/>
            <w:tcMar>
              <w:top w:type="dxa" w:w="80"/>
              <w:left w:type="dxa" w:w="120"/>
              <w:bottom w:type="dxa" w:w="80"/>
              <w:right w:type="dxa" w:w="120"/>
            </w:tcMar>
            <w:vAlign w:val="center"/>
          </w:tcPr>
          <w:p>
            <w:pPr>
              <w:jc w:val="left"/>
            </w:pPr>
            <w:r>
              <w:rPr>
                <w:b w:val="false"/>
                <w:bCs w:val="false"/>
              </w:rPr>
              <w:t xml:space="preserve">0.035</w:t>
            </w:r>
          </w:p>
        </w:tc>
      </w:tr>
      <w:tr>
        <w:tc>
          <w:tcPr>
            <w:tcW w:type="dxa" w:w="4600"/>
            <w:tcMar>
              <w:top w:type="dxa" w:w="80"/>
              <w:left w:type="dxa" w:w="120"/>
              <w:bottom w:type="dxa" w:w="80"/>
              <w:right w:type="dxa" w:w="120"/>
            </w:tcMar>
            <w:vAlign w:val="center"/>
          </w:tcPr>
          <w:p>
            <w:pPr>
              <w:jc w:val="left"/>
            </w:pPr>
            <w:r>
              <w:rPr>
                <w:b w:val="false"/>
                <w:bCs w:val="false"/>
              </w:rPr>
              <w:t xml:space="preserve">Credit_Utilization</w:t>
            </w:r>
          </w:p>
        </w:tc>
        <w:tc>
          <w:tcPr>
            <w:tcW w:type="dxa" w:w="4900"/>
            <w:tcMar>
              <w:top w:type="dxa" w:w="80"/>
              <w:left w:type="dxa" w:w="120"/>
              <w:bottom w:type="dxa" w:w="80"/>
              <w:right w:type="dxa" w:w="120"/>
            </w:tcMar>
            <w:vAlign w:val="center"/>
          </w:tcPr>
          <w:p>
            <w:pPr>
              <w:jc w:val="left"/>
            </w:pPr>
            <w:r>
              <w:rPr>
                <w:b w:val="false"/>
                <w:bCs w:val="false"/>
              </w:rPr>
              <w:t xml:space="preserve">0.034</w:t>
            </w:r>
          </w:p>
        </w:tc>
      </w:tr>
      <w:tr>
        <w:tc>
          <w:tcPr>
            <w:tcW w:type="dxa" w:w="4600"/>
            <w:shd w:fill="F2F2F2" w:val="clear"/>
            <w:tcMar>
              <w:top w:type="dxa" w:w="80"/>
              <w:left w:type="dxa" w:w="120"/>
              <w:bottom w:type="dxa" w:w="80"/>
              <w:right w:type="dxa" w:w="120"/>
            </w:tcMar>
            <w:vAlign w:val="center"/>
          </w:tcPr>
          <w:p>
            <w:pPr>
              <w:jc w:val="left"/>
            </w:pPr>
            <w:r>
              <w:rPr>
                <w:b w:val="false"/>
                <w:bCs w:val="false"/>
              </w:rPr>
              <w:t xml:space="preserve">Debt_to_Income_Ratio</w:t>
            </w:r>
          </w:p>
        </w:tc>
        <w:tc>
          <w:tcPr>
            <w:tcW w:type="dxa" w:w="4900"/>
            <w:shd w:fill="F2F2F2" w:val="clear"/>
            <w:tcMar>
              <w:top w:type="dxa" w:w="80"/>
              <w:left w:type="dxa" w:w="120"/>
              <w:bottom w:type="dxa" w:w="80"/>
              <w:right w:type="dxa" w:w="120"/>
            </w:tcMar>
            <w:vAlign w:val="center"/>
          </w:tcPr>
          <w:p>
            <w:pPr>
              <w:jc w:val="left"/>
            </w:pPr>
            <w:r>
              <w:rPr>
                <w:b w:val="false"/>
                <w:bCs w:val="false"/>
              </w:rPr>
              <w:t xml:space="preserve">0.034</w:t>
            </w:r>
          </w:p>
        </w:tc>
      </w:tr>
      <w:tr>
        <w:tc>
          <w:tcPr>
            <w:tcW w:type="dxa" w:w="4600"/>
            <w:tcMar>
              <w:top w:type="dxa" w:w="80"/>
              <w:left w:type="dxa" w:w="120"/>
              <w:bottom w:type="dxa" w:w="80"/>
              <w:right w:type="dxa" w:w="120"/>
            </w:tcMar>
            <w:vAlign w:val="center"/>
          </w:tcPr>
          <w:p>
            <w:pPr>
              <w:jc w:val="left"/>
            </w:pPr>
            <w:r>
              <w:rPr>
                <w:b w:val="false"/>
                <w:bCs w:val="false"/>
              </w:rPr>
              <w:t xml:space="preserve">Age</w:t>
            </w:r>
          </w:p>
        </w:tc>
        <w:tc>
          <w:tcPr>
            <w:tcW w:type="dxa" w:w="4900"/>
            <w:tcMar>
              <w:top w:type="dxa" w:w="80"/>
              <w:left w:type="dxa" w:w="120"/>
              <w:bottom w:type="dxa" w:w="80"/>
              <w:right w:type="dxa" w:w="120"/>
            </w:tcMar>
            <w:vAlign w:val="center"/>
          </w:tcPr>
          <w:p>
            <w:pPr>
              <w:jc w:val="left"/>
            </w:pPr>
            <w:r>
              <w:rPr>
                <w:b w:val="false"/>
                <w:bCs w:val="false"/>
              </w:rPr>
              <w:t xml:space="preserve">0.023</w:t>
            </w:r>
          </w:p>
        </w:tc>
      </w:tr>
      <w:tr>
        <w:tc>
          <w:tcPr>
            <w:tcW w:type="dxa" w:w="4600"/>
            <w:shd w:fill="F2F2F2" w:val="clear"/>
            <w:tcMar>
              <w:top w:type="dxa" w:w="80"/>
              <w:left w:type="dxa" w:w="120"/>
              <w:bottom w:type="dxa" w:w="80"/>
              <w:right w:type="dxa" w:w="120"/>
            </w:tcMar>
            <w:vAlign w:val="center"/>
          </w:tcPr>
          <w:p>
            <w:pPr>
              <w:jc w:val="left"/>
            </w:pPr>
            <w:r>
              <w:rPr>
                <w:b w:val="false"/>
                <w:bCs w:val="false"/>
              </w:rPr>
              <w:t xml:space="preserve">Account_Tenure</w:t>
            </w:r>
          </w:p>
        </w:tc>
        <w:tc>
          <w:tcPr>
            <w:tcW w:type="dxa" w:w="4900"/>
            <w:shd w:fill="F2F2F2" w:val="clear"/>
            <w:tcMar>
              <w:top w:type="dxa" w:w="80"/>
              <w:left w:type="dxa" w:w="120"/>
              <w:bottom w:type="dxa" w:w="80"/>
              <w:right w:type="dxa" w:w="120"/>
            </w:tcMar>
            <w:vAlign w:val="center"/>
          </w:tcPr>
          <w:p>
            <w:pPr>
              <w:jc w:val="left"/>
            </w:pPr>
            <w:r>
              <w:rPr>
                <w:b w:val="false"/>
                <w:bCs w:val="false"/>
              </w:rPr>
              <w:t xml:space="preserve">−0.040</w:t>
            </w:r>
          </w:p>
        </w:tc>
      </w:tr>
      <w:tr>
        <w:tc>
          <w:tcPr>
            <w:tcW w:type="dxa" w:w="4600"/>
            <w:tcMar>
              <w:top w:type="dxa" w:w="80"/>
              <w:left w:type="dxa" w:w="120"/>
              <w:bottom w:type="dxa" w:w="80"/>
              <w:right w:type="dxa" w:w="120"/>
            </w:tcMar>
            <w:vAlign w:val="center"/>
          </w:tcPr>
          <w:p>
            <w:pPr>
              <w:jc w:val="left"/>
            </w:pPr>
            <w:r>
              <w:rPr>
                <w:b w:val="false"/>
                <w:bCs w:val="false"/>
              </w:rPr>
              <w:t xml:space="preserve">Missed_Payments</w:t>
            </w:r>
          </w:p>
        </w:tc>
        <w:tc>
          <w:tcPr>
            <w:tcW w:type="dxa" w:w="4900"/>
            <w:tcMar>
              <w:top w:type="dxa" w:w="80"/>
              <w:left w:type="dxa" w:w="120"/>
              <w:bottom w:type="dxa" w:w="80"/>
              <w:right w:type="dxa" w:w="120"/>
            </w:tcMar>
            <w:vAlign w:val="center"/>
          </w:tcPr>
          <w:p>
            <w:pPr>
              <w:jc w:val="left"/>
            </w:pPr>
            <w:r>
              <w:rPr>
                <w:b w:val="false"/>
                <w:bCs w:val="false"/>
              </w:rPr>
              <w:t xml:space="preserve">−0.026</w:t>
            </w:r>
          </w:p>
        </w:tc>
      </w:tr>
      <w:tr>
        <w:tc>
          <w:tcPr>
            <w:tcW w:type="dxa" w:w="4600"/>
            <w:shd w:fill="F2F2F2" w:val="clear"/>
            <w:tcMar>
              <w:top w:type="dxa" w:w="80"/>
              <w:left w:type="dxa" w:w="120"/>
              <w:bottom w:type="dxa" w:w="80"/>
              <w:right w:type="dxa" w:w="120"/>
            </w:tcMar>
            <w:vAlign w:val="center"/>
          </w:tcPr>
          <w:p>
            <w:pPr>
              <w:jc w:val="left"/>
            </w:pPr>
            <w:r>
              <w:rPr>
                <w:b w:val="false"/>
                <w:bCs w:val="false"/>
              </w:rPr>
              <w:t xml:space="preserve">Loan_Balance</w:t>
            </w:r>
          </w:p>
        </w:tc>
        <w:tc>
          <w:tcPr>
            <w:tcW w:type="dxa" w:w="4900"/>
            <w:shd w:fill="F2F2F2" w:val="clear"/>
            <w:tcMar>
              <w:top w:type="dxa" w:w="80"/>
              <w:left w:type="dxa" w:w="120"/>
              <w:bottom w:type="dxa" w:w="80"/>
              <w:right w:type="dxa" w:w="120"/>
            </w:tcMar>
            <w:vAlign w:val="center"/>
          </w:tcPr>
          <w:p>
            <w:pPr>
              <w:jc w:val="left"/>
            </w:pPr>
            <w:r>
              <w:rPr>
                <w:b w:val="false"/>
                <w:bCs w:val="false"/>
              </w:rPr>
              <w:t xml:space="preserve">−0.004</w:t>
            </w:r>
          </w:p>
        </w:tc>
      </w:tr>
    </w:tbl>
    <w:p>
      <w:pPr>
        <w:spacing w:after="200"/>
      </w:pPr>
    </w:p>
    <w:p>
      <w:pPr>
        <w:spacing w:after="160"/>
      </w:pPr>
      <w:r>
        <w:t xml:space="preserve">This is a genuinely important finding for modeling: it suggests delinquency in this dataset is not well explained by any single linear driver, and a model will likely need to rely on combinations of features (interactions) rather than one dominant signal. It also means claims of a “strong correlation” between any one variable and delinquency are not supported by this data and should not be asserted in downstream reporting.</w:t>
      </w:r>
    </w:p>
    <w:p>
      <w:pPr>
        <w:pStyle w:val="Heading2"/>
        <w:spacing w:after="120" w:before="240"/>
      </w:pPr>
      <w:r>
        <w:t xml:space="preserve">4.3 Delinquency rate by segment (directional, not strongly predictive on their own)</w:t>
      </w:r>
    </w:p>
    <w:p>
      <w:pPr>
        <w:spacing w:after="160"/>
      </w:pPr>
      <w:r>
        <w:t xml:space="preserve">Grouping customers into buckets shows mild directional patterns worth carrying into modeling, even though none rise to a strong standalone signal: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2700"/>
        <w:gridCol w:w="2600"/>
      </w:tblGrid>
      <w:tr>
        <w:trPr>
          <w:tblHeader/>
        </w:trPr>
        <w:tc>
          <w:tcPr>
            <w:tcW w:type="dxa" w:w="4200"/>
            <w:shd w:fill="D9E2F3" w:val="clear"/>
            <w:tcMar>
              <w:top w:type="dxa" w:w="80"/>
              <w:left w:type="dxa" w:w="120"/>
              <w:bottom w:type="dxa" w:w="80"/>
              <w:right w:type="dxa" w:w="120"/>
            </w:tcMar>
            <w:vAlign w:val="center"/>
          </w:tcPr>
          <w:p>
            <w:pPr>
              <w:jc w:val="left"/>
            </w:pPr>
            <w:r>
              <w:rPr>
                <w:b/>
                <w:bCs/>
              </w:rPr>
              <w:t xml:space="preserve">Segment</w:t>
            </w:r>
          </w:p>
        </w:tc>
        <w:tc>
          <w:tcPr>
            <w:tcW w:type="dxa" w:w="2700"/>
            <w:shd w:fill="D9E2F3" w:val="clear"/>
            <w:tcMar>
              <w:top w:type="dxa" w:w="80"/>
              <w:left w:type="dxa" w:w="120"/>
              <w:bottom w:type="dxa" w:w="80"/>
              <w:right w:type="dxa" w:w="120"/>
            </w:tcMar>
            <w:vAlign w:val="center"/>
          </w:tcPr>
          <w:p>
            <w:pPr>
              <w:jc w:val="left"/>
            </w:pPr>
            <w:r>
              <w:rPr>
                <w:b/>
                <w:bCs/>
              </w:rPr>
              <w:t xml:space="preserve">Delinquency Rate</w:t>
            </w:r>
          </w:p>
        </w:tc>
        <w:tc>
          <w:tcPr>
            <w:tcW w:type="dxa" w:w="2600"/>
            <w:shd w:fill="D9E2F3" w:val="clear"/>
            <w:tcMar>
              <w:top w:type="dxa" w:w="80"/>
              <w:left w:type="dxa" w:w="120"/>
              <w:bottom w:type="dxa" w:w="80"/>
              <w:right w:type="dxa" w:w="120"/>
            </w:tcMar>
            <w:vAlign w:val="center"/>
          </w:tcPr>
          <w:p>
            <w:pPr>
              <w:jc w:val="left"/>
            </w:pPr>
            <w:r>
              <w:rPr>
                <w:b/>
                <w:bCs/>
              </w:rPr>
              <w:t xml:space="preserve">Sample Size</w:t>
            </w:r>
          </w:p>
        </w:tc>
      </w:tr>
      <w:tr>
        <w:tc>
          <w:tcPr>
            <w:tcW w:type="dxa" w:w="4200"/>
            <w:tcMar>
              <w:top w:type="dxa" w:w="80"/>
              <w:left w:type="dxa" w:w="120"/>
              <w:bottom w:type="dxa" w:w="80"/>
              <w:right w:type="dxa" w:w="120"/>
            </w:tcMar>
            <w:vAlign w:val="center"/>
          </w:tcPr>
          <w:p>
            <w:pPr>
              <w:jc w:val="left"/>
            </w:pPr>
            <w:r>
              <w:rPr>
                <w:b w:val="false"/>
                <w:bCs w:val="false"/>
              </w:rPr>
              <w:t xml:space="preserve">Debt-to-Income 35–50%</w:t>
            </w:r>
          </w:p>
        </w:tc>
        <w:tc>
          <w:tcPr>
            <w:tcW w:type="dxa" w:w="2700"/>
            <w:tcMar>
              <w:top w:type="dxa" w:w="80"/>
              <w:left w:type="dxa" w:w="120"/>
              <w:bottom w:type="dxa" w:w="80"/>
              <w:right w:type="dxa" w:w="120"/>
            </w:tcMar>
            <w:vAlign w:val="center"/>
          </w:tcPr>
          <w:p>
            <w:pPr>
              <w:jc w:val="left"/>
            </w:pPr>
            <w:r>
              <w:rPr>
                <w:b w:val="false"/>
                <w:bCs w:val="false"/>
              </w:rPr>
              <w:t xml:space="preserve">18.5%</w:t>
            </w:r>
          </w:p>
        </w:tc>
        <w:tc>
          <w:tcPr>
            <w:tcW w:type="dxa" w:w="2600"/>
            <w:tcMar>
              <w:top w:type="dxa" w:w="80"/>
              <w:left w:type="dxa" w:w="120"/>
              <w:bottom w:type="dxa" w:w="80"/>
              <w:right w:type="dxa" w:w="120"/>
            </w:tcMar>
            <w:vAlign w:val="center"/>
          </w:tcPr>
          <w:p>
            <w:pPr>
              <w:jc w:val="left"/>
            </w:pPr>
            <w:r>
              <w:rPr>
                <w:b w:val="false"/>
                <w:bCs w:val="false"/>
              </w:rPr>
              <w:t xml:space="preserve">135</w:t>
            </w:r>
          </w:p>
        </w:tc>
      </w:tr>
      <w:tr>
        <w:tc>
          <w:tcPr>
            <w:tcW w:type="dxa" w:w="4200"/>
            <w:shd w:fill="F2F2F2" w:val="clear"/>
            <w:tcMar>
              <w:top w:type="dxa" w:w="80"/>
              <w:left w:type="dxa" w:w="120"/>
              <w:bottom w:type="dxa" w:w="80"/>
              <w:right w:type="dxa" w:w="120"/>
            </w:tcMar>
            <w:vAlign w:val="center"/>
          </w:tcPr>
          <w:p>
            <w:pPr>
              <w:jc w:val="left"/>
            </w:pPr>
            <w:r>
              <w:rPr>
                <w:b w:val="false"/>
                <w:bCs w:val="false"/>
              </w:rPr>
              <w:t xml:space="preserve">Debt-to-Income 20–35%</w:t>
            </w:r>
          </w:p>
        </w:tc>
        <w:tc>
          <w:tcPr>
            <w:tcW w:type="dxa" w:w="2700"/>
            <w:shd w:fill="F2F2F2" w:val="clear"/>
            <w:tcMar>
              <w:top w:type="dxa" w:w="80"/>
              <w:left w:type="dxa" w:w="120"/>
              <w:bottom w:type="dxa" w:w="80"/>
              <w:right w:type="dxa" w:w="120"/>
            </w:tcMar>
            <w:vAlign w:val="center"/>
          </w:tcPr>
          <w:p>
            <w:pPr>
              <w:jc w:val="left"/>
            </w:pPr>
            <w:r>
              <w:rPr>
                <w:b w:val="false"/>
                <w:bCs w:val="false"/>
              </w:rPr>
              <w:t xml:space="preserve">17.0%</w:t>
            </w:r>
          </w:p>
        </w:tc>
        <w:tc>
          <w:tcPr>
            <w:tcW w:type="dxa" w:w="2600"/>
            <w:shd w:fill="F2F2F2" w:val="clear"/>
            <w:tcMar>
              <w:top w:type="dxa" w:w="80"/>
              <w:left w:type="dxa" w:w="120"/>
              <w:bottom w:type="dxa" w:w="80"/>
              <w:right w:type="dxa" w:w="120"/>
            </w:tcMar>
            <w:vAlign w:val="center"/>
          </w:tcPr>
          <w:p>
            <w:pPr>
              <w:jc w:val="left"/>
            </w:pPr>
            <w:r>
              <w:rPr>
                <w:b w:val="false"/>
                <w:bCs w:val="false"/>
              </w:rPr>
              <w:t xml:space="preserve">276</w:t>
            </w:r>
          </w:p>
        </w:tc>
      </w:tr>
      <w:tr>
        <w:tc>
          <w:tcPr>
            <w:tcW w:type="dxa" w:w="4200"/>
            <w:tcMar>
              <w:top w:type="dxa" w:w="80"/>
              <w:left w:type="dxa" w:w="120"/>
              <w:bottom w:type="dxa" w:w="80"/>
              <w:right w:type="dxa" w:w="120"/>
            </w:tcMar>
            <w:vAlign w:val="center"/>
          </w:tcPr>
          <w:p>
            <w:pPr>
              <w:jc w:val="left"/>
            </w:pPr>
            <w:r>
              <w:rPr>
                <w:b w:val="false"/>
                <w:bCs w:val="false"/>
              </w:rPr>
              <w:t xml:space="preserve">Debt-to-Income under 20%</w:t>
            </w:r>
          </w:p>
        </w:tc>
        <w:tc>
          <w:tcPr>
            <w:tcW w:type="dxa" w:w="2700"/>
            <w:tcMar>
              <w:top w:type="dxa" w:w="80"/>
              <w:left w:type="dxa" w:w="120"/>
              <w:bottom w:type="dxa" w:w="80"/>
              <w:right w:type="dxa" w:w="120"/>
            </w:tcMar>
            <w:vAlign w:val="center"/>
          </w:tcPr>
          <w:p>
            <w:pPr>
              <w:jc w:val="left"/>
            </w:pPr>
            <w:r>
              <w:rPr>
                <w:b w:val="false"/>
                <w:bCs w:val="false"/>
              </w:rPr>
              <w:t xml:space="preserve">9.8%</w:t>
            </w:r>
          </w:p>
        </w:tc>
        <w:tc>
          <w:tcPr>
            <w:tcW w:type="dxa" w:w="2600"/>
            <w:tcMar>
              <w:top w:type="dxa" w:w="80"/>
              <w:left w:type="dxa" w:w="120"/>
              <w:bottom w:type="dxa" w:w="80"/>
              <w:right w:type="dxa" w:w="120"/>
            </w:tcMar>
            <w:vAlign w:val="center"/>
          </w:tcPr>
          <w:p>
            <w:pPr>
              <w:jc w:val="left"/>
            </w:pPr>
            <w:r>
              <w:rPr>
                <w:b w:val="false"/>
                <w:bCs w:val="false"/>
              </w:rPr>
              <w:t xml:space="preserve">82</w:t>
            </w:r>
          </w:p>
        </w:tc>
      </w:tr>
      <w:tr>
        <w:tc>
          <w:tcPr>
            <w:tcW w:type="dxa" w:w="4200"/>
            <w:shd w:fill="F2F2F2" w:val="clear"/>
            <w:tcMar>
              <w:top w:type="dxa" w:w="80"/>
              <w:left w:type="dxa" w:w="120"/>
              <w:bottom w:type="dxa" w:w="80"/>
              <w:right w:type="dxa" w:w="120"/>
            </w:tcMar>
            <w:vAlign w:val="center"/>
          </w:tcPr>
          <w:p>
            <w:pPr>
              <w:jc w:val="left"/>
            </w:pPr>
            <w:r>
              <w:rPr>
                <w:b w:val="false"/>
                <w:bCs w:val="false"/>
              </w:rPr>
              <w:t xml:space="preserve">Credit Utilization 30–50%</w:t>
            </w:r>
          </w:p>
        </w:tc>
        <w:tc>
          <w:tcPr>
            <w:tcW w:type="dxa" w:w="2700"/>
            <w:shd w:fill="F2F2F2" w:val="clear"/>
            <w:tcMar>
              <w:top w:type="dxa" w:w="80"/>
              <w:left w:type="dxa" w:w="120"/>
              <w:bottom w:type="dxa" w:w="80"/>
              <w:right w:type="dxa" w:w="120"/>
            </w:tcMar>
            <w:vAlign w:val="center"/>
          </w:tcPr>
          <w:p>
            <w:pPr>
              <w:jc w:val="left"/>
            </w:pPr>
            <w:r>
              <w:rPr>
                <w:b w:val="false"/>
                <w:bCs w:val="false"/>
              </w:rPr>
              <w:t xml:space="preserve">17.0%</w:t>
            </w:r>
          </w:p>
        </w:tc>
        <w:tc>
          <w:tcPr>
            <w:tcW w:type="dxa" w:w="2600"/>
            <w:shd w:fill="F2F2F2" w:val="clear"/>
            <w:tcMar>
              <w:top w:type="dxa" w:w="80"/>
              <w:left w:type="dxa" w:w="120"/>
              <w:bottom w:type="dxa" w:w="80"/>
              <w:right w:type="dxa" w:w="120"/>
            </w:tcMar>
            <w:vAlign w:val="center"/>
          </w:tcPr>
          <w:p>
            <w:pPr>
              <w:jc w:val="left"/>
            </w:pPr>
            <w:r>
              <w:rPr>
                <w:b w:val="false"/>
                <w:bCs w:val="false"/>
              </w:rPr>
              <w:t xml:space="preserve">182</w:t>
            </w:r>
          </w:p>
        </w:tc>
      </w:tr>
      <w:tr>
        <w:tc>
          <w:tcPr>
            <w:tcW w:type="dxa" w:w="4200"/>
            <w:tcMar>
              <w:top w:type="dxa" w:w="80"/>
              <w:left w:type="dxa" w:w="120"/>
              <w:bottom w:type="dxa" w:w="80"/>
              <w:right w:type="dxa" w:w="120"/>
            </w:tcMar>
            <w:vAlign w:val="center"/>
          </w:tcPr>
          <w:p>
            <w:pPr>
              <w:jc w:val="left"/>
            </w:pPr>
            <w:r>
              <w:rPr>
                <w:b w:val="false"/>
                <w:bCs w:val="false"/>
              </w:rPr>
              <w:t xml:space="preserve">Credit Utilization under 30%</w:t>
            </w:r>
          </w:p>
        </w:tc>
        <w:tc>
          <w:tcPr>
            <w:tcW w:type="dxa" w:w="2700"/>
            <w:tcMar>
              <w:top w:type="dxa" w:w="80"/>
              <w:left w:type="dxa" w:w="120"/>
              <w:bottom w:type="dxa" w:w="80"/>
              <w:right w:type="dxa" w:w="120"/>
            </w:tcMar>
            <w:vAlign w:val="center"/>
          </w:tcPr>
          <w:p>
            <w:pPr>
              <w:jc w:val="left"/>
            </w:pPr>
            <w:r>
              <w:rPr>
                <w:b w:val="false"/>
                <w:bCs w:val="false"/>
              </w:rPr>
              <w:t xml:space="preserve">12.0%</w:t>
            </w:r>
          </w:p>
        </w:tc>
        <w:tc>
          <w:tcPr>
            <w:tcW w:type="dxa" w:w="2600"/>
            <w:tcMar>
              <w:top w:type="dxa" w:w="80"/>
              <w:left w:type="dxa" w:w="120"/>
              <w:bottom w:type="dxa" w:w="80"/>
              <w:right w:type="dxa" w:w="120"/>
            </w:tcMar>
            <w:vAlign w:val="center"/>
          </w:tcPr>
          <w:p>
            <w:pPr>
              <w:jc w:val="left"/>
            </w:pPr>
            <w:r>
              <w:rPr>
                <w:b w:val="false"/>
                <w:bCs w:val="false"/>
              </w:rPr>
              <w:t xml:space="preserve">83</w:t>
            </w:r>
          </w:p>
        </w:tc>
      </w:tr>
      <w:tr>
        <w:tc>
          <w:tcPr>
            <w:tcW w:type="dxa" w:w="4200"/>
            <w:shd w:fill="F2F2F2" w:val="clear"/>
            <w:tcMar>
              <w:top w:type="dxa" w:w="80"/>
              <w:left w:type="dxa" w:w="120"/>
              <w:bottom w:type="dxa" w:w="80"/>
              <w:right w:type="dxa" w:w="120"/>
            </w:tcMar>
            <w:vAlign w:val="center"/>
          </w:tcPr>
          <w:p>
            <w:pPr>
              <w:jc w:val="left"/>
            </w:pPr>
            <w:r>
              <w:rPr>
                <w:b w:val="false"/>
                <w:bCs w:val="false"/>
              </w:rPr>
              <w:t xml:space="preserve">Age 46–60</w:t>
            </w:r>
          </w:p>
        </w:tc>
        <w:tc>
          <w:tcPr>
            <w:tcW w:type="dxa" w:w="2700"/>
            <w:shd w:fill="F2F2F2" w:val="clear"/>
            <w:tcMar>
              <w:top w:type="dxa" w:w="80"/>
              <w:left w:type="dxa" w:w="120"/>
              <w:bottom w:type="dxa" w:w="80"/>
              <w:right w:type="dxa" w:w="120"/>
            </w:tcMar>
            <w:vAlign w:val="center"/>
          </w:tcPr>
          <w:p>
            <w:pPr>
              <w:jc w:val="left"/>
            </w:pPr>
            <w:r>
              <w:rPr>
                <w:b w:val="false"/>
                <w:bCs w:val="false"/>
              </w:rPr>
              <w:t xml:space="preserve">21.7%</w:t>
            </w:r>
          </w:p>
        </w:tc>
        <w:tc>
          <w:tcPr>
            <w:tcW w:type="dxa" w:w="2600"/>
            <w:shd w:fill="F2F2F2" w:val="clear"/>
            <w:tcMar>
              <w:top w:type="dxa" w:w="80"/>
              <w:left w:type="dxa" w:w="120"/>
              <w:bottom w:type="dxa" w:w="80"/>
              <w:right w:type="dxa" w:w="120"/>
            </w:tcMar>
            <w:vAlign w:val="center"/>
          </w:tcPr>
          <w:p>
            <w:pPr>
              <w:jc w:val="left"/>
            </w:pPr>
            <w:r>
              <w:rPr>
                <w:b w:val="false"/>
                <w:bCs w:val="false"/>
              </w:rPr>
              <w:t xml:space="preserve">138</w:t>
            </w:r>
          </w:p>
        </w:tc>
      </w:tr>
      <w:tr>
        <w:tc>
          <w:tcPr>
            <w:tcW w:type="dxa" w:w="4200"/>
            <w:tcMar>
              <w:top w:type="dxa" w:w="80"/>
              <w:left w:type="dxa" w:w="120"/>
              <w:bottom w:type="dxa" w:w="80"/>
              <w:right w:type="dxa" w:w="120"/>
            </w:tcMar>
            <w:vAlign w:val="center"/>
          </w:tcPr>
          <w:p>
            <w:pPr>
              <w:jc w:val="left"/>
            </w:pPr>
            <w:r>
              <w:rPr>
                <w:b w:val="false"/>
                <w:bCs w:val="false"/>
              </w:rPr>
              <w:t xml:space="preserve">Age 31–45</w:t>
            </w:r>
          </w:p>
        </w:tc>
        <w:tc>
          <w:tcPr>
            <w:tcW w:type="dxa" w:w="2700"/>
            <w:tcMar>
              <w:top w:type="dxa" w:w="80"/>
              <w:left w:type="dxa" w:w="120"/>
              <w:bottom w:type="dxa" w:w="80"/>
              <w:right w:type="dxa" w:w="120"/>
            </w:tcMar>
            <w:vAlign w:val="center"/>
          </w:tcPr>
          <w:p>
            <w:pPr>
              <w:jc w:val="left"/>
            </w:pPr>
            <w:r>
              <w:rPr>
                <w:b w:val="false"/>
                <w:bCs w:val="false"/>
              </w:rPr>
              <w:t xml:space="preserve">12.3%</w:t>
            </w:r>
          </w:p>
        </w:tc>
        <w:tc>
          <w:tcPr>
            <w:tcW w:type="dxa" w:w="2600"/>
            <w:tcMar>
              <w:top w:type="dxa" w:w="80"/>
              <w:left w:type="dxa" w:w="120"/>
              <w:bottom w:type="dxa" w:w="80"/>
              <w:right w:type="dxa" w:w="120"/>
            </w:tcMar>
            <w:vAlign w:val="center"/>
          </w:tcPr>
          <w:p>
            <w:pPr>
              <w:jc w:val="left"/>
            </w:pPr>
            <w:r>
              <w:rPr>
                <w:b w:val="false"/>
                <w:bCs w:val="false"/>
              </w:rPr>
              <w:t xml:space="preserve">138</w:t>
            </w:r>
          </w:p>
        </w:tc>
      </w:tr>
      <w:tr>
        <w:tc>
          <w:tcPr>
            <w:tcW w:type="dxa" w:w="4200"/>
            <w:shd w:fill="F2F2F2" w:val="clear"/>
            <w:tcMar>
              <w:top w:type="dxa" w:w="80"/>
              <w:left w:type="dxa" w:w="120"/>
              <w:bottom w:type="dxa" w:w="80"/>
              <w:right w:type="dxa" w:w="120"/>
            </w:tcMar>
            <w:vAlign w:val="center"/>
          </w:tcPr>
          <w:p>
            <w:pPr>
              <w:jc w:val="left"/>
            </w:pPr>
            <w:r>
              <w:rPr>
                <w:b w:val="false"/>
                <w:bCs w:val="false"/>
              </w:rPr>
              <w:t xml:space="preserve">Unemployed (normalized)</w:t>
            </w:r>
          </w:p>
        </w:tc>
        <w:tc>
          <w:tcPr>
            <w:tcW w:type="dxa" w:w="2700"/>
            <w:shd w:fill="F2F2F2" w:val="clear"/>
            <w:tcMar>
              <w:top w:type="dxa" w:w="80"/>
              <w:left w:type="dxa" w:w="120"/>
              <w:bottom w:type="dxa" w:w="80"/>
              <w:right w:type="dxa" w:w="120"/>
            </w:tcMar>
            <w:vAlign w:val="center"/>
          </w:tcPr>
          <w:p>
            <w:pPr>
              <w:jc w:val="left"/>
            </w:pPr>
            <w:r>
              <w:rPr>
                <w:b w:val="false"/>
                <w:bCs w:val="false"/>
              </w:rPr>
              <w:t xml:space="preserve">19.4%</w:t>
            </w:r>
          </w:p>
        </w:tc>
        <w:tc>
          <w:tcPr>
            <w:tcW w:type="dxa" w:w="2600"/>
            <w:shd w:fill="F2F2F2" w:val="clear"/>
            <w:tcMar>
              <w:top w:type="dxa" w:w="80"/>
              <w:left w:type="dxa" w:w="120"/>
              <w:bottom w:type="dxa" w:w="80"/>
              <w:right w:type="dxa" w:w="120"/>
            </w:tcMar>
            <w:vAlign w:val="center"/>
          </w:tcPr>
          <w:p>
            <w:pPr>
              <w:jc w:val="left"/>
            </w:pPr>
            <w:r>
              <w:rPr>
                <w:b w:val="false"/>
                <w:bCs w:val="false"/>
              </w:rPr>
              <w:t xml:space="preserve">93</w:t>
            </w:r>
          </w:p>
        </w:tc>
      </w:tr>
      <w:tr>
        <w:tc>
          <w:tcPr>
            <w:tcW w:type="dxa" w:w="4200"/>
            <w:tcMar>
              <w:top w:type="dxa" w:w="80"/>
              <w:left w:type="dxa" w:w="120"/>
              <w:bottom w:type="dxa" w:w="80"/>
              <w:right w:type="dxa" w:w="120"/>
            </w:tcMar>
            <w:vAlign w:val="center"/>
          </w:tcPr>
          <w:p>
            <w:pPr>
              <w:jc w:val="left"/>
            </w:pPr>
            <w:r>
              <w:rPr>
                <w:b w:val="false"/>
                <w:bCs w:val="false"/>
              </w:rPr>
              <w:t xml:space="preserve">Retired (normalized)</w:t>
            </w:r>
          </w:p>
        </w:tc>
        <w:tc>
          <w:tcPr>
            <w:tcW w:type="dxa" w:w="2700"/>
            <w:tcMar>
              <w:top w:type="dxa" w:w="80"/>
              <w:left w:type="dxa" w:w="120"/>
              <w:bottom w:type="dxa" w:w="80"/>
              <w:right w:type="dxa" w:w="120"/>
            </w:tcMar>
            <w:vAlign w:val="center"/>
          </w:tcPr>
          <w:p>
            <w:pPr>
              <w:jc w:val="left"/>
            </w:pPr>
            <w:r>
              <w:rPr>
                <w:b w:val="false"/>
                <w:bCs w:val="false"/>
              </w:rPr>
              <w:t xml:space="preserve">11.5%</w:t>
            </w:r>
          </w:p>
        </w:tc>
        <w:tc>
          <w:tcPr>
            <w:tcW w:type="dxa" w:w="2600"/>
            <w:tcMar>
              <w:top w:type="dxa" w:w="80"/>
              <w:left w:type="dxa" w:w="120"/>
              <w:bottom w:type="dxa" w:w="80"/>
              <w:right w:type="dxa" w:w="120"/>
            </w:tcMar>
            <w:vAlign w:val="center"/>
          </w:tcPr>
          <w:p>
            <w:pPr>
              <w:jc w:val="left"/>
            </w:pPr>
            <w:r>
              <w:rPr>
                <w:b w:val="false"/>
                <w:bCs w:val="false"/>
              </w:rPr>
              <w:t xml:space="preserve">87</w:t>
            </w:r>
          </w:p>
        </w:tc>
      </w:tr>
    </w:tbl>
    <w:p>
      <w:pPr>
        <w:spacing w:after="200"/>
      </w:pPr>
    </w:p>
    <w:p>
      <w:pPr>
        <w:spacing w:after="160"/>
      </w:pPr>
      <w:r>
        <w:t xml:space="preserve">Higher debt-to-income ratio shows the clearest directional trend (9.8% → 18.5% delinquency as DTI rises), followed by employment status (unemployed customers delinquent at nearly double the rate of retirees). Age shows a non-linear pattern, with the 46–60 group elevated relative to neighboring age bands. Missed_Payments and months-missed-in-history did not show a clear monotonic relationship with the label in this sample.</w:t>
      </w:r>
    </w:p>
    <w:p>
      <w:pPr>
        <w:pStyle w:val="Heading1"/>
        <w:spacing w:after="150" w:before="300"/>
      </w:pPr>
      <w:r>
        <w:t xml:space="preserve">5. AI &amp; GenAI Usage</w:t>
      </w:r>
    </w:p>
    <w:p>
      <w:pPr>
        <w:spacing w:after="160"/>
      </w:pPr>
      <w:r>
        <w:t xml:space="preserve">Generative AI (Claude) was used to help structure this report, draft narrative explanations of the statistical output, and cross-check the interpretation of correlation and bucket results against standard credit-risk EDA practice. All figures in this report were computed directly from the dataset in Python (pandas); AI was not used to generate or estimate any numeric values.</w:t>
      </w:r>
    </w:p>
    <w:p>
      <w:pPr>
        <w:pStyle w:val="Heading2"/>
        <w:spacing w:after="120" w:before="240"/>
      </w:pPr>
      <w:r>
        <w:t xml:space="preserve">Example prompts used</w:t>
      </w:r>
    </w:p>
    <w:p>
      <w:pPr>
        <w:pStyle w:val="ListParagraph"/>
        <w:numPr>
          <w:ilvl w:val="0"/>
          <w:numId w:val="1"/>
        </w:numPr>
        <w:spacing w:after="80"/>
      </w:pPr>
      <w:r>
        <w:t xml:space="preserve">“Run descriptive statistics and missing-value counts on this dataset and summarize data quality issues.”</w:t>
      </w:r>
    </w:p>
    <w:p>
      <w:pPr>
        <w:pStyle w:val="ListParagraph"/>
        <w:numPr>
          <w:ilvl w:val="0"/>
          <w:numId w:val="1"/>
        </w:numPr>
        <w:spacing w:after="80"/>
      </w:pPr>
      <w:r>
        <w:t xml:space="preserve">“Compute correlation between each numeric feature and the delinquency label and explain what the results imply for modeling.”</w:t>
      </w:r>
    </w:p>
    <w:p>
      <w:pPr>
        <w:pStyle w:val="ListParagraph"/>
        <w:numPr>
          <w:ilvl w:val="0"/>
          <w:numId w:val="1"/>
        </w:numPr>
        <w:spacing w:after="80"/>
      </w:pPr>
      <w:r>
        <w:t xml:space="preserve">“Check whether missingness in Income and Loan_Balance is related to the delinquency outcome.”</w:t>
      </w:r>
    </w:p>
    <w:p>
      <w:pPr>
        <w:pStyle w:val="Heading1"/>
        <w:spacing w:after="150" w:before="300"/>
      </w:pPr>
      <w:r>
        <w:t xml:space="preserve">6. Conclusion &amp; Next Steps</w:t>
      </w:r>
    </w:p>
    <w:p>
      <w:pPr>
        <w:spacing w:after="160"/>
      </w:pPr>
      <w:r>
        <w:t xml:space="preserve">The dataset is broadly complete and usable for modeling once two data quality issues are resolved: standardizing Employment_Status categories and addressing the 4 out-of-range Credit_Utilization values. Missing values in Income, Loan_Balance, and Credit_Score are limited in volume (under 8% each) and suitable for median imputation.</w:t>
      </w:r>
    </w:p>
    <w:p>
      <w:pPr>
        <w:spacing w:after="160"/>
      </w:pPr>
      <w:r>
        <w:t xml:space="preserve">The most important analytical finding is that no single numeric feature strongly predicts delinquency in isolation — debt-to-income ratio and employment status show the clearest directional patterns, but a predictive model will need to combine multiple features rather than rely on one dominant driver.</w:t>
      </w:r>
    </w:p>
    <w:p>
      <w:pPr>
        <w:pStyle w:val="Heading2"/>
        <w:spacing w:after="120" w:before="240"/>
      </w:pPr>
      <w:r>
        <w:t xml:space="preserve">Recommended next steps</w:t>
      </w:r>
    </w:p>
    <w:p>
      <w:pPr>
        <w:pStyle w:val="ListParagraph"/>
        <w:numPr>
          <w:ilvl w:val="0"/>
          <w:numId w:val="1"/>
        </w:numPr>
        <w:spacing w:after="80"/>
      </w:pPr>
      <w:r>
        <w:t xml:space="preserve">Standardize Employment_Status categories (Employed / Unemployed / Self-employed / Retired) before feature engineering.</w:t>
      </w:r>
    </w:p>
    <w:p>
      <w:pPr>
        <w:pStyle w:val="ListParagraph"/>
        <w:numPr>
          <w:ilvl w:val="0"/>
          <w:numId w:val="1"/>
        </w:numPr>
        <w:spacing w:after="80"/>
      </w:pPr>
      <w:r>
        <w:t xml:space="preserve">Cap or flag Credit_Utilization values above 1.0 rather than treating them as valid inputs.</w:t>
      </w:r>
    </w:p>
    <w:p>
      <w:pPr>
        <w:pStyle w:val="ListParagraph"/>
        <w:numPr>
          <w:ilvl w:val="0"/>
          <w:numId w:val="1"/>
        </w:numPr>
        <w:spacing w:after="80"/>
      </w:pPr>
      <w:r>
        <w:t xml:space="preserve">Apply median imputation to Income, Loan_Balance, and Credit_Score; monitor the Loan_Balance missingness pattern after imputation.</w:t>
      </w:r>
    </w:p>
    <w:p>
      <w:pPr>
        <w:pStyle w:val="ListParagraph"/>
        <w:numPr>
          <w:ilvl w:val="0"/>
          <w:numId w:val="1"/>
        </w:numPr>
        <w:spacing w:after="80"/>
      </w:pPr>
      <w:r>
        <w:t xml:space="preserve">Proceed to predictive modeling (Task 2) using Debt-to-Income Ratio, Credit Utilization, Employment_Status, Age, and Missed_Payments as candidate features, with attention to feature interactions rather than single-variable effects.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2026-07-15T18:59:08.650Z</dcterms:created>
  <dcterms:modified xsi:type="dcterms:W3CDTF">2026-07-15T18:59:08.668Z</dcterms:modified>
</cp:coreProperties>
</file>

<file path=docProps/custom.xml><?xml version="1.0" encoding="utf-8"?>
<Properties xmlns="http://schemas.openxmlformats.org/officeDocument/2006/custom-properties" xmlns:vt="http://schemas.openxmlformats.org/officeDocument/2006/docPropsVTypes"/>
</file>