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Predictive Model Plan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Geldium Finance — Credit Card Delinquency Prediction</w:t>
      </w:r>
    </w:p>
    <w:p>
      <w:pPr>
        <w:spacing w:after="300"/>
      </w:pPr>
      <w:r>
        <w:rPr>
          <w:i/>
          <w:iCs/>
          <w:color w:val="888888"/>
          <w:sz w:val="18"/>
          <w:szCs w:val="18"/>
        </w:rPr>
        <w:t xml:space="preserve">Prepared as part of the Tata iQ GenAI Powered Data Analytics Forage virtual experience (simulated client engagement).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Model Logic</w:t>
      </w:r>
    </w:p>
    <w:p>
      <w:pPr>
        <w:spacing w:after="160"/>
      </w:pPr>
      <w:r>
        <w:t xml:space="preserve">Building on the Task 1 EDA, a logistic regression model was implemented and tested directly against the dataset (not just conceptually designed) using Python (scikit-learn), to predict the binary outcome Delinquent_Account (1 = delinquent, 0 = not delinquent).</w:t>
      </w:r>
    </w:p>
    <w:p>
      <w:pPr>
        <w:pStyle w:val="Heading2"/>
        <w:spacing w:after="120" w:before="240"/>
      </w:pPr>
      <w:r>
        <w:t xml:space="preserve">Data preparation applied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Employment_Status categories (“EMP” / “employed” / “Employed” merged into one category).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Capped Credit_Utilization at 1.0 for the 4 out-of-range records identified in Task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Median-imputed Income, Loan_Balance, and Credit_Score.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a Months_Missed_6mo feature by counting “Missed” entries across Month_1–Month_6.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One-hot encoded Employment_Status and Credit_Card_Type; standardized all numeric features.</w:t>
      </w:r>
    </w:p>
    <w:p>
      <w:pPr>
        <w:pStyle w:val="Heading2"/>
        <w:spacing w:after="120" w:before="240"/>
      </w:pPr>
      <w:r>
        <w:t xml:space="preserve">Pipeline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1. Load and clean dataset (500 records)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2. Engineer Months_Missed_6mo from 6-month payment history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3. One-hot encode Employment_Status, Credit_Card_Type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4. Standardize numeric features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5. Fit logistic regression (class_weight='balanced' to offset the 84%/16% class split)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6. Evaluate with stratified 5-fold cross-validation</w:t>
      </w:r>
    </w:p>
    <w:p>
      <w:pPr>
        <w:spacing w:after="160"/>
      </w:pPr>
    </w:p>
    <w:p>
      <w:pPr>
        <w:pStyle w:val="Heading1"/>
        <w:spacing w:after="150" w:before="300"/>
      </w:pPr>
      <w:r>
        <w:t xml:space="preserve">2. Justification for Model Choice</w:t>
      </w:r>
    </w:p>
    <w:p>
      <w:pPr>
        <w:spacing w:after="160"/>
      </w:pPr>
      <w:r>
        <w:t xml:space="preserve">Logistic regression was chosen as the primary model because it is well suited to Geldium's stated goals: binary classification, transparent coefficients that map directly to business-explainable risk drivers, low computational cost, and straightforward deployment and monitoring — all important in a regulated financial services context where decisions may need to be explained to customers or regulators.</w:t>
      </w:r>
    </w:p>
    <w:p>
      <w:pPr>
        <w:pStyle w:val="Heading2"/>
        <w:spacing w:after="120" w:before="240"/>
      </w:pPr>
      <w:r>
        <w:t xml:space="preserve">Alternatives considered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6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Why not chosen as primary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Decision Tree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More interpretable for non-technical audiences via visual rules, but more prone to overfitting on a dataset this size (500 records) and less stable across resamples.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Neural Network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Unnecessary complexity for a dataset of this size and structure; sacrifices the coefficient-level explainability that regulators and the collections team need.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Evaluation Results and Honest Assessment</w:t>
      </w:r>
    </w:p>
    <w:p>
      <w:pPr>
        <w:spacing w:after="160"/>
      </w:pPr>
      <w:r>
        <w:t xml:space="preserve">The model was evaluated using accuracy, precision, recall, F1, and ROC-AUC via stratified 5-fold cross-validation (more robust than a single train/test split for a dataset this size).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300"/>
      </w:tblGrid>
      <w:tr>
        <w:trPr>
          <w:tblHeader/>
        </w:trPr>
        <w:tc>
          <w:tcPr>
            <w:tcW w:type="dxa" w:w="5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 ROC-AUC (5-fold CV)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0.44 (range 0.39–0.54 across folds)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 F1 score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0.23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accuracy (predict “not delinquent” for everyone)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84.0%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This result needs to be stated plainly rather than dressed up: an AUC of 0.44 is at or slightly below the 0.50 level expected from random guessing. This is consistent with the Task 1 finding that no individual feature showed a meaningful linear correlation with delinquency (all under 0.05). Taken together, this strongly suggests the provided dataset does not contain a strong, learnable linear signal for delinquency — which is a legitimate and important conclusion in its own right, and one a responsible analyst should report rather than obscure with an inflated narrative.</w:t>
      </w:r>
    </w:p>
    <w:p>
      <w:pPr>
        <w:pStyle w:val="Heading2"/>
        <w:spacing w:after="120" w:before="240"/>
      </w:pPr>
      <w:r>
        <w:t xml:space="preserve">What this means for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logistic regression pipeline, feature engineering, and evaluation methodology are sound and would be reusable if applied to a dataset with genuine signal (e.g., real production data rather than this sample).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deploying any model in production, Geldium should validate performance on a larger, real transaction-linked dataset rather than relying on this sample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Non-linear models (e.g., gradient boosting) or engineered interaction terms (e.g., DTI × Employment_Status) should be tested to check whether the weak linear signal masks a non-linear relationship, before concluding the features themselves are uninformative.</w:t>
      </w:r>
    </w:p>
    <w:p>
      <w:pPr>
        <w:pStyle w:val="Heading1"/>
        <w:spacing w:after="150" w:before="300"/>
      </w:pPr>
      <w:r>
        <w:t xml:space="preserve">4. Evaluation Strategy Going Forward</w:t>
      </w:r>
    </w:p>
    <w:p>
      <w:pPr>
        <w:spacing w:after="160"/>
      </w:pPr>
      <w:r>
        <w:t xml:space="preserve">For any retrained or production version of this model, the following evaluation strategy is recommended: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Precision and recall should be tracked separately, not just accuracy — given the 84%/16% class imbalance, a model that predicts “not delinquent” for every customer would score 84% accuracy while being useless. Recall matters most operationally, since missing a genuinely high-risk customer (false negative) is more costly to Geldium than a false positive that triggers unnecessary outreach.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F1 score should be used to balance precision and recall when comparing model versions.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ROC-AUC should be tracked across retraining cycles as the primary threshold-independent measure of separability.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Bias should be checked by comparing false-positive and false-negative rates across Employment_Status and Age bands, to ensure the model doesn't systematically flag one group more than another for reasons unrelated to actual risk.</w:t>
      </w:r>
    </w:p>
    <w:p>
      <w:pPr>
        <w:pStyle w:val="Heading1"/>
        <w:spacing w:after="150" w:before="300"/>
      </w:pPr>
      <w:r>
        <w:t xml:space="preserve">5. Responsible AI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Fairness: Prediction rates should be monitored across Employment_Status, Age, and Location segments before deployment, given the segment-level rate differences observed in Task 1 (e.g., unemployed customers at 19.4% vs. retired at 11.5%).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Explainability: Logistic regression coefficients directly show each feature's direction and relative weight, which supports adverse-action explanations required under fair lending regulation.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Human oversight: Given the weak model performance found here, any deployment decision should require human sign-off rather than fully automated action, until validated on a dataset that shows genuine predictive signal.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Transparency: Any business use of this model plan should disclose the current AUC/F1 results rather than presenting the model as production-ready.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2026-07-15T19:01:18.748Z</dcterms:created>
  <dcterms:modified xsi:type="dcterms:W3CDTF">2026-07-15T19:01:18.748Z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