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296" w:val="left" w:leader="none"/>
        </w:tabs>
        <w:spacing w:line="240" w:lineRule="auto" w:before="79" w:after="0"/>
        <w:ind w:left="295" w:right="0" w:hanging="196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 potential</w:t>
      </w:r>
      <w:r>
        <w:rPr>
          <w:spacing w:val="-5"/>
        </w:rPr>
        <w:t> </w:t>
      </w:r>
      <w:r>
        <w:rPr/>
        <w:t>top</w:t>
      </w:r>
      <w:r>
        <w:rPr>
          <w:spacing w:val="-2"/>
        </w:rPr>
        <w:t> </w:t>
      </w:r>
      <w:r>
        <w:rPr/>
        <w:t>5 sustainability</w:t>
      </w:r>
      <w:r>
        <w:rPr>
          <w:spacing w:val="-6"/>
        </w:rPr>
        <w:t> </w:t>
      </w:r>
      <w:r>
        <w:rPr/>
        <w:t>issues for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client?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Curriculum</w:t>
      </w:r>
      <w:r>
        <w:rPr>
          <w:spacing w:val="-4"/>
          <w:sz w:val="22"/>
        </w:rPr>
        <w:t> </w:t>
      </w:r>
      <w:r>
        <w:rPr>
          <w:sz w:val="22"/>
        </w:rPr>
        <w:t>(core)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Sustainable</w:t>
      </w:r>
      <w:r>
        <w:rPr>
          <w:spacing w:val="-3"/>
          <w:sz w:val="22"/>
        </w:rPr>
        <w:t> </w:t>
      </w:r>
      <w:r>
        <w:rPr>
          <w:sz w:val="22"/>
        </w:rPr>
        <w:t>buildings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resilience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2"/>
        </w:rPr>
      </w:pPr>
      <w:r>
        <w:rPr>
          <w:sz w:val="22"/>
        </w:rPr>
        <w:t>Campus</w:t>
      </w:r>
      <w:r>
        <w:rPr>
          <w:spacing w:val="-5"/>
          <w:sz w:val="22"/>
        </w:rPr>
        <w:t> </w:t>
      </w:r>
      <w:r>
        <w:rPr>
          <w:sz w:val="22"/>
        </w:rPr>
        <w:t>engagement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and emissions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Industry</w:t>
      </w:r>
      <w:r>
        <w:rPr>
          <w:spacing w:val="-8"/>
          <w:sz w:val="22"/>
        </w:rPr>
        <w:t> </w:t>
      </w:r>
      <w:r>
        <w:rPr>
          <w:sz w:val="22"/>
        </w:rPr>
        <w:t>partnerships</w:t>
      </w:r>
    </w:p>
    <w:p>
      <w:pPr>
        <w:pStyle w:val="BodyText"/>
        <w:spacing w:before="5"/>
        <w:rPr>
          <w:rFonts w:ascii="Arial MT"/>
          <w:i w:val="0"/>
          <w:sz w:val="28"/>
        </w:rPr>
      </w:pPr>
    </w:p>
    <w:p>
      <w:pPr>
        <w:pStyle w:val="BodyText"/>
        <w:spacing w:line="276" w:lineRule="auto"/>
        <w:ind w:left="100" w:right="42"/>
      </w:pPr>
      <w:r>
        <w:rPr/>
        <w:t>Explanation:</w:t>
      </w:r>
      <w:r>
        <w:rPr>
          <w:spacing w:val="-6"/>
        </w:rPr>
        <w:t> </w:t>
      </w:r>
      <w:r>
        <w:rPr/>
        <w:t>Slide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3"/>
        </w:rPr>
        <w:t> </w:t>
      </w:r>
      <w:r>
        <w:rPr/>
        <w:t>overall</w:t>
      </w:r>
      <w:r>
        <w:rPr>
          <w:spacing w:val="-3"/>
        </w:rPr>
        <w:t> </w:t>
      </w:r>
      <w:r>
        <w:rPr/>
        <w:t>lesson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key</w:t>
      </w:r>
      <w:r>
        <w:rPr>
          <w:spacing w:val="-9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areas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sustainability.</w:t>
      </w:r>
      <w:r>
        <w:rPr>
          <w:spacing w:val="-5"/>
        </w:rPr>
        <w:t> </w:t>
      </w:r>
      <w:r>
        <w:rPr/>
        <w:t>These</w:t>
      </w:r>
      <w:r>
        <w:rPr>
          <w:spacing w:val="-59"/>
        </w:rPr>
        <w:t> </w:t>
      </w:r>
      <w:r>
        <w:rPr/>
        <w:t>5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because</w:t>
      </w:r>
      <w:r>
        <w:rPr>
          <w:spacing w:val="-7"/>
        </w:rPr>
        <w:t> </w:t>
      </w:r>
      <w:r>
        <w:rPr/>
        <w:t>universities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unique</w:t>
      </w:r>
      <w:r>
        <w:rPr>
          <w:spacing w:val="-3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influence</w:t>
      </w:r>
      <w:r>
        <w:rPr>
          <w:spacing w:val="-3"/>
        </w:rPr>
        <w:t> </w:t>
      </w:r>
      <w:r>
        <w:rPr/>
        <w:t>younger</w:t>
      </w:r>
      <w:r>
        <w:rPr>
          <w:spacing w:val="-3"/>
        </w:rPr>
        <w:t> </w:t>
      </w:r>
      <w:r>
        <w:rPr/>
        <w:t>generations,</w:t>
      </w:r>
      <w:r>
        <w:rPr>
          <w:spacing w:val="-58"/>
        </w:rPr>
        <w:t> </w:t>
      </w:r>
      <w:r>
        <w:rPr/>
        <w:t>so curriculum development and campus engagement are key. Industry partnerships are also</w:t>
      </w:r>
      <w:r>
        <w:rPr>
          <w:spacing w:val="1"/>
        </w:rPr>
        <w:t> </w:t>
      </w:r>
      <w:r>
        <w:rPr/>
        <w:t>important to the education sector to work together to develop the best resources, whether it be</w:t>
      </w:r>
      <w:r>
        <w:rPr>
          <w:spacing w:val="1"/>
        </w:rPr>
        <w:t> </w:t>
      </w:r>
      <w:r>
        <w:rPr/>
        <w:t>educational tools, partnering with different companies for internships, or sharing lessons. And</w:t>
      </w:r>
      <w:r>
        <w:rPr>
          <w:spacing w:val="1"/>
        </w:rPr>
        <w:t> </w:t>
      </w:r>
      <w:r>
        <w:rPr/>
        <w:t>lastly, the size of the university (7,000 staff and 50,000 students) means a lot of buildings and a</w:t>
      </w:r>
      <w:r>
        <w:rPr>
          <w:spacing w:val="1"/>
        </w:rPr>
        <w:t> </w:t>
      </w:r>
      <w:r>
        <w:rPr/>
        <w:t>lot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energy</w:t>
      </w:r>
      <w:r>
        <w:rPr>
          <w:spacing w:val="-2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and emissions</w:t>
      </w:r>
      <w:r>
        <w:rPr>
          <w:spacing w:val="-2"/>
        </w:rPr>
        <w:t> </w:t>
      </w:r>
      <w:r>
        <w:rPr/>
        <w:t>being</w:t>
      </w:r>
      <w:r>
        <w:rPr>
          <w:spacing w:val="1"/>
        </w:rPr>
        <w:t> </w:t>
      </w:r>
      <w:r>
        <w:rPr/>
        <w:t>produced.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1" w:after="0"/>
        <w:ind w:left="355" w:right="0" w:hanging="256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issues?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Establish</w:t>
      </w:r>
      <w:r>
        <w:rPr>
          <w:spacing w:val="-3"/>
          <w:sz w:val="22"/>
        </w:rPr>
        <w:t> </w:t>
      </w:r>
      <w:r>
        <w:rPr>
          <w:sz w:val="22"/>
        </w:rPr>
        <w:t>sustainability</w:t>
      </w:r>
      <w:r>
        <w:rPr>
          <w:spacing w:val="-5"/>
          <w:sz w:val="22"/>
        </w:rPr>
        <w:t> </w:t>
      </w:r>
      <w:r>
        <w:rPr>
          <w:sz w:val="22"/>
        </w:rPr>
        <w:t>metrics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indicators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"/>
          <w:sz w:val="22"/>
        </w:rPr>
        <w:t> </w:t>
      </w:r>
      <w:r>
        <w:rPr>
          <w:sz w:val="22"/>
        </w:rPr>
        <w:t>industry</w:t>
      </w:r>
      <w:r>
        <w:rPr>
          <w:spacing w:val="-3"/>
          <w:sz w:val="22"/>
        </w:rPr>
        <w:t> </w:t>
      </w:r>
      <w:r>
        <w:rPr>
          <w:sz w:val="22"/>
        </w:rPr>
        <w:t>standards</w:t>
      </w:r>
      <w:r>
        <w:rPr>
          <w:spacing w:val="-8"/>
          <w:sz w:val="22"/>
        </w:rPr>
        <w:t> </w:t>
      </w:r>
      <w:r>
        <w:rPr>
          <w:sz w:val="22"/>
        </w:rPr>
        <w:t>and trends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ESG</w:t>
      </w:r>
      <w:r>
        <w:rPr>
          <w:spacing w:val="-5"/>
          <w:sz w:val="22"/>
        </w:rPr>
        <w:t> </w:t>
      </w:r>
      <w:r>
        <w:rPr>
          <w:sz w:val="22"/>
        </w:rPr>
        <w:t>maturity</w:t>
      </w:r>
      <w:r>
        <w:rPr>
          <w:spacing w:val="-4"/>
          <w:sz w:val="22"/>
        </w:rPr>
        <w:t> </w:t>
      </w:r>
      <w:r>
        <w:rPr>
          <w:sz w:val="22"/>
        </w:rPr>
        <w:t>roadmap and</w:t>
      </w:r>
      <w:r>
        <w:rPr>
          <w:spacing w:val="-1"/>
          <w:sz w:val="22"/>
        </w:rPr>
        <w:t> </w:t>
      </w:r>
      <w:r>
        <w:rPr>
          <w:sz w:val="22"/>
        </w:rPr>
        <w:t>assessment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2" w:after="0"/>
        <w:ind w:left="821" w:right="0" w:hanging="361"/>
        <w:jc w:val="left"/>
        <w:rPr>
          <w:sz w:val="22"/>
        </w:rPr>
      </w:pPr>
      <w:r>
        <w:rPr>
          <w:sz w:val="22"/>
        </w:rPr>
        <w:t>Green</w:t>
      </w:r>
      <w:r>
        <w:rPr>
          <w:spacing w:val="-3"/>
          <w:sz w:val="22"/>
        </w:rPr>
        <w:t> </w:t>
      </w:r>
      <w:r>
        <w:rPr>
          <w:sz w:val="22"/>
        </w:rPr>
        <w:t>ratings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Thermal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energy</w:t>
      </w:r>
      <w:r>
        <w:rPr>
          <w:spacing w:val="-4"/>
          <w:sz w:val="22"/>
        </w:rPr>
        <w:t> </w:t>
      </w:r>
      <w:r>
        <w:rPr>
          <w:sz w:val="22"/>
        </w:rPr>
        <w:t>modeling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Scope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emissions</w:t>
      </w:r>
      <w:r>
        <w:rPr>
          <w:spacing w:val="-3"/>
          <w:sz w:val="22"/>
        </w:rPr>
        <w:t> </w:t>
      </w:r>
      <w:r>
        <w:rPr>
          <w:sz w:val="22"/>
        </w:rPr>
        <w:t>assessments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Sustainability</w:t>
      </w:r>
      <w:r>
        <w:rPr>
          <w:spacing w:val="-6"/>
          <w:sz w:val="22"/>
        </w:rPr>
        <w:t> </w:t>
      </w:r>
      <w:r>
        <w:rPr>
          <w:sz w:val="22"/>
        </w:rPr>
        <w:t>maturity</w:t>
      </w:r>
      <w:r>
        <w:rPr>
          <w:spacing w:val="-6"/>
          <w:sz w:val="22"/>
        </w:rPr>
        <w:t> </w:t>
      </w:r>
      <w:r>
        <w:rPr>
          <w:sz w:val="22"/>
        </w:rPr>
        <w:t>model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Digital</w:t>
      </w:r>
      <w:r>
        <w:rPr>
          <w:spacing w:val="-5"/>
          <w:sz w:val="22"/>
        </w:rPr>
        <w:t> </w:t>
      </w:r>
      <w:r>
        <w:rPr>
          <w:sz w:val="22"/>
        </w:rPr>
        <w:t>sustainability</w:t>
      </w:r>
      <w:r>
        <w:rPr>
          <w:spacing w:val="-5"/>
          <w:sz w:val="22"/>
        </w:rPr>
        <w:t> </w:t>
      </w:r>
      <w:r>
        <w:rPr>
          <w:sz w:val="22"/>
        </w:rPr>
        <w:t>index</w:t>
      </w:r>
    </w:p>
    <w:p>
      <w:pPr>
        <w:pStyle w:val="BodyText"/>
        <w:spacing w:before="11"/>
        <w:rPr>
          <w:rFonts w:ascii="Arial MT"/>
          <w:i w:val="0"/>
          <w:sz w:val="28"/>
        </w:rPr>
      </w:pPr>
    </w:p>
    <w:p>
      <w:pPr>
        <w:pStyle w:val="BodyText"/>
        <w:spacing w:line="276" w:lineRule="auto"/>
        <w:ind w:left="100" w:right="656"/>
      </w:pPr>
      <w:r>
        <w:rPr/>
        <w:t>Explanation: The relevant tools that help address the issues in (i), taken from the Advisory</w:t>
      </w:r>
      <w:r>
        <w:rPr>
          <w:spacing w:val="-59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and</w:t>
      </w:r>
      <w:r>
        <w:rPr>
          <w:spacing w:val="1"/>
        </w:rPr>
        <w:t> </w:t>
      </w:r>
      <w:r>
        <w:rPr/>
        <w:t>Tools/Products</w:t>
      </w:r>
      <w:r>
        <w:rPr>
          <w:spacing w:val="-2"/>
        </w:rPr>
        <w:t> </w:t>
      </w:r>
      <w:r>
        <w:rPr/>
        <w:t>slides</w:t>
      </w:r>
      <w:r>
        <w:rPr>
          <w:spacing w:val="-2"/>
        </w:rPr>
        <w:t> </w:t>
      </w:r>
      <w:r>
        <w:rPr/>
        <w:t>(10-19)</w: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76" w:lineRule="auto" w:before="0" w:after="0"/>
        <w:ind w:left="100" w:right="100" w:firstLine="0"/>
        <w:jc w:val="left"/>
      </w:pPr>
      <w:r>
        <w:rPr/>
        <w:t>What are the business and government sustainability-related regulations for the client</w:t>
      </w:r>
      <w:r>
        <w:rPr>
          <w:spacing w:val="-59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(higher</w:t>
      </w:r>
      <w:r>
        <w:rPr>
          <w:spacing w:val="-2"/>
        </w:rPr>
        <w:t> </w:t>
      </w:r>
      <w:r>
        <w:rPr/>
        <w:t>education)?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1" w:right="0" w:hanging="361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4"/>
          <w:sz w:val="22"/>
        </w:rPr>
        <w:t> </w:t>
      </w:r>
      <w:r>
        <w:rPr>
          <w:sz w:val="22"/>
        </w:rPr>
        <w:t>greenhouse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energy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Large</w:t>
      </w:r>
      <w:r>
        <w:rPr>
          <w:spacing w:val="-3"/>
          <w:sz w:val="22"/>
        </w:rPr>
        <w:t> </w:t>
      </w:r>
      <w:r>
        <w:rPr>
          <w:sz w:val="22"/>
        </w:rPr>
        <w:t>scale</w:t>
      </w:r>
      <w:r>
        <w:rPr>
          <w:spacing w:val="-2"/>
          <w:sz w:val="22"/>
        </w:rPr>
        <w:t> </w:t>
      </w:r>
      <w:r>
        <w:rPr>
          <w:sz w:val="22"/>
        </w:rPr>
        <w:t>generation</w:t>
      </w:r>
      <w:r>
        <w:rPr>
          <w:spacing w:val="-2"/>
          <w:sz w:val="22"/>
        </w:rPr>
        <w:t> </w:t>
      </w:r>
      <w:r>
        <w:rPr>
          <w:sz w:val="22"/>
        </w:rPr>
        <w:t>certificates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National</w:t>
      </w:r>
      <w:r>
        <w:rPr>
          <w:spacing w:val="-5"/>
          <w:sz w:val="22"/>
        </w:rPr>
        <w:t> </w:t>
      </w:r>
      <w:r>
        <w:rPr>
          <w:sz w:val="22"/>
        </w:rPr>
        <w:t>pollutant</w:t>
      </w:r>
      <w:r>
        <w:rPr>
          <w:spacing w:val="-6"/>
          <w:sz w:val="22"/>
        </w:rPr>
        <w:t> </w:t>
      </w:r>
      <w:r>
        <w:rPr>
          <w:sz w:val="22"/>
        </w:rPr>
        <w:t>inventory</w:t>
      </w:r>
      <w:r>
        <w:rPr>
          <w:spacing w:val="-6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Modern slavery</w:t>
      </w:r>
      <w:r>
        <w:rPr>
          <w:spacing w:val="-7"/>
          <w:sz w:val="22"/>
        </w:rPr>
        <w:t> </w:t>
      </w:r>
      <w:r>
        <w:rPr>
          <w:sz w:val="22"/>
        </w:rPr>
        <w:t>act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1" w:right="0" w:hanging="361"/>
        <w:jc w:val="left"/>
        <w:rPr>
          <w:sz w:val="22"/>
        </w:rPr>
      </w:pPr>
      <w:r>
        <w:rPr>
          <w:sz w:val="22"/>
        </w:rPr>
        <w:t>Tertiary</w:t>
      </w:r>
      <w:r>
        <w:rPr>
          <w:spacing w:val="-7"/>
          <w:sz w:val="22"/>
        </w:rPr>
        <w:t> </w:t>
      </w:r>
      <w:r>
        <w:rPr>
          <w:sz w:val="22"/>
        </w:rPr>
        <w:t>education</w:t>
      </w:r>
      <w:r>
        <w:rPr>
          <w:spacing w:val="-3"/>
          <w:sz w:val="22"/>
        </w:rPr>
        <w:t> </w:t>
      </w:r>
      <w:r>
        <w:rPr>
          <w:sz w:val="22"/>
        </w:rPr>
        <w:t>facilities</w:t>
      </w:r>
      <w:r>
        <w:rPr>
          <w:spacing w:val="-6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association</w:t>
      </w:r>
      <w:r>
        <w:rPr>
          <w:spacing w:val="-8"/>
          <w:sz w:val="22"/>
        </w:rPr>
        <w:t> </w:t>
      </w:r>
      <w:r>
        <w:rPr>
          <w:sz w:val="22"/>
        </w:rPr>
        <w:t>reporting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1" w:right="0" w:hanging="361"/>
        <w:jc w:val="left"/>
        <w:rPr>
          <w:sz w:val="22"/>
        </w:rPr>
      </w:pPr>
      <w:r>
        <w:rPr>
          <w:sz w:val="22"/>
        </w:rPr>
        <w:t>Carbon</w:t>
      </w:r>
      <w:r>
        <w:rPr>
          <w:spacing w:val="-3"/>
          <w:sz w:val="22"/>
        </w:rPr>
        <w:t> </w:t>
      </w:r>
      <w:r>
        <w:rPr>
          <w:sz w:val="22"/>
        </w:rPr>
        <w:t>neutral</w:t>
      </w:r>
      <w:r>
        <w:rPr>
          <w:spacing w:val="-5"/>
          <w:sz w:val="22"/>
        </w:rPr>
        <w:t> </w:t>
      </w:r>
      <w:r>
        <w:rPr>
          <w:sz w:val="22"/>
        </w:rPr>
        <w:t>reporting</w:t>
      </w:r>
    </w:p>
    <w:p>
      <w:pPr>
        <w:pStyle w:val="BodyText"/>
        <w:spacing w:before="10"/>
        <w:rPr>
          <w:rFonts w:ascii="Arial MT"/>
          <w:i w:val="0"/>
          <w:sz w:val="28"/>
        </w:rPr>
      </w:pPr>
    </w:p>
    <w:p>
      <w:pPr>
        <w:pStyle w:val="BodyText"/>
        <w:ind w:left="100"/>
      </w:pPr>
      <w:r>
        <w:rPr/>
        <w:t>Explanation: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regulations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Regulation</w:t>
      </w:r>
      <w:r>
        <w:rPr>
          <w:spacing w:val="-3"/>
        </w:rPr>
        <w:t> </w:t>
      </w:r>
      <w:r>
        <w:rPr/>
        <w:t>slide</w:t>
      </w:r>
      <w:r>
        <w:rPr>
          <w:spacing w:val="-2"/>
        </w:rPr>
        <w:t> </w:t>
      </w:r>
      <w:r>
        <w:rPr/>
        <w:t>(31)</w:t>
      </w:r>
    </w:p>
    <w:sectPr>
      <w:type w:val="continuous"/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%1)"/>
      <w:lvlJc w:val="left"/>
      <w:pPr>
        <w:ind w:left="295" w:hanging="195"/>
        <w:jc w:val="left"/>
      </w:pPr>
      <w:rPr>
        <w:rFonts w:hint="default" w:ascii="Arial" w:hAnsi="Arial" w:eastAsia="Arial" w:cs="Arial"/>
        <w:b/>
        <w:bCs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1" w:hanging="360"/>
      </w:pPr>
      <w:rPr>
        <w:rFonts w:hint="default" w:ascii="Arial MT" w:hAnsi="Arial MT" w:eastAsia="Arial MT" w:cs="Arial MT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5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2023-03-12T03:02:00Z</dcterms:created>
  <dcterms:modified xsi:type="dcterms:W3CDTF">2023-03-12T03:02:00Z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2023-03-12T00:00:00Z</vt:filetime>
  </property>
</Properties>
</file>