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4F4B8" w14:textId="77777777" w:rsidR="00C714DD" w:rsidRDefault="00000000">
      <w:pPr>
        <w:spacing w:after="80"/>
        <w:jc w:val="center"/>
      </w:pPr>
      <w:r>
        <w:rPr>
          <w:b/>
          <w:bCs/>
          <w:color w:val="003DA5"/>
          <w:sz w:val="36"/>
          <w:szCs w:val="36"/>
        </w:rPr>
        <w:t>Bakersfield’s Sewer System Needs Upgrades, and Its Most Vulnerable Communities Need Protections</w:t>
      </w:r>
    </w:p>
    <w:p w14:paraId="1254F4B9" w14:textId="77777777" w:rsidR="00C714DD" w:rsidRDefault="00000000">
      <w:pPr>
        <w:spacing w:after="80"/>
        <w:jc w:val="center"/>
      </w:pPr>
      <w:r>
        <w:rPr>
          <w:color w:val="666666"/>
          <w:sz w:val="24"/>
          <w:szCs w:val="24"/>
        </w:rPr>
        <w:t>An Affordability Analysis of the 2026–2031 Rate Increases</w:t>
      </w:r>
    </w:p>
    <w:p w14:paraId="1254F4BA" w14:textId="77777777" w:rsidR="00C714DD" w:rsidRDefault="00000000">
      <w:pPr>
        <w:spacing w:after="300"/>
        <w:jc w:val="center"/>
      </w:pPr>
      <w:r>
        <w:rPr>
          <w:i/>
          <w:iCs/>
          <w:color w:val="666666"/>
          <w:sz w:val="20"/>
          <w:szCs w:val="20"/>
        </w:rPr>
        <w:t>Laljeet Sangha, UC Cooperative Extension – Kern County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4DD" w14:paraId="1254F4C0" w14:textId="77777777">
        <w:tblPrEx>
          <w:tblCellMar>
            <w:top w:w="0" w:type="dxa"/>
            <w:bottom w:w="0" w:type="dxa"/>
          </w:tblCellMar>
        </w:tblPrEx>
        <w:tc>
          <w:tcPr>
            <w:tcW w:w="9360" w:type="dxa"/>
            <w:tcBorders>
              <w:top w:val="single" w:sz="6" w:space="0" w:color="003DA5"/>
              <w:left w:val="single" w:sz="6" w:space="0" w:color="003DA5"/>
              <w:bottom w:val="single" w:sz="6" w:space="0" w:color="003DA5"/>
              <w:right w:val="single" w:sz="6" w:space="0" w:color="003DA5"/>
            </w:tcBorders>
            <w:shd w:val="clear" w:color="auto" w:fill="EBF0FA"/>
            <w:tcMar>
              <w:top w:w="120" w:type="dxa"/>
              <w:left w:w="200" w:type="dxa"/>
              <w:bottom w:w="120" w:type="dxa"/>
              <w:right w:w="200" w:type="dxa"/>
            </w:tcMar>
          </w:tcPr>
          <w:p w14:paraId="1254F4BB" w14:textId="77777777" w:rsidR="00C714DD" w:rsidRDefault="00000000">
            <w:pPr>
              <w:spacing w:after="100"/>
            </w:pPr>
            <w:r>
              <w:rPr>
                <w:b/>
                <w:bCs/>
                <w:color w:val="003DA5"/>
                <w:sz w:val="24"/>
                <w:szCs w:val="24"/>
              </w:rPr>
              <w:t>Key Takeaways</w:t>
            </w:r>
          </w:p>
          <w:p w14:paraId="1254F4BC" w14:textId="77777777" w:rsidR="00C714DD" w:rsidRDefault="00000000">
            <w:pPr>
              <w:pStyle w:val="ListParagraph"/>
              <w:numPr>
                <w:ilvl w:val="0"/>
                <w:numId w:val="2"/>
              </w:numPr>
              <w:spacing w:after="80" w:line="276" w:lineRule="auto"/>
            </w:pPr>
            <w:r>
              <w:rPr>
                <w:color w:val="333333"/>
                <w:sz w:val="21"/>
                <w:szCs w:val="21"/>
              </w:rPr>
              <w:t>Bakersfield needs to invest in its aging sewer system. That is not in question.</w:t>
            </w:r>
          </w:p>
          <w:p w14:paraId="1254F4BD" w14:textId="77777777" w:rsidR="00C714DD" w:rsidRDefault="00000000">
            <w:pPr>
              <w:pStyle w:val="ListParagraph"/>
              <w:numPr>
                <w:ilvl w:val="0"/>
                <w:numId w:val="2"/>
              </w:numPr>
              <w:spacing w:after="80" w:line="276" w:lineRule="auto"/>
            </w:pPr>
            <w:r>
              <w:rPr>
                <w:color w:val="333333"/>
                <w:sz w:val="21"/>
                <w:szCs w:val="21"/>
              </w:rPr>
              <w:t>The city compares its rates to other California cities in absolute dollars, but Bakersfield residents earn less than residents in most of those cities. A fair comparison accounts for income.</w:t>
            </w:r>
          </w:p>
          <w:p w14:paraId="1254F4BE" w14:textId="77777777" w:rsidR="00C714DD" w:rsidRDefault="00000000">
            <w:pPr>
              <w:pStyle w:val="ListParagraph"/>
              <w:numPr>
                <w:ilvl w:val="0"/>
                <w:numId w:val="2"/>
              </w:numPr>
              <w:spacing w:after="80" w:line="276" w:lineRule="auto"/>
            </w:pPr>
            <w:r>
              <w:rPr>
                <w:color w:val="333333"/>
                <w:sz w:val="21"/>
                <w:szCs w:val="21"/>
              </w:rPr>
              <w:t>At the proposed final rate of $875/year, an estimated 33,700 households (about 24% of households in the service area) would spend more than what federal guidelines consider affordable on sewer alone.</w:t>
            </w:r>
          </w:p>
          <w:p w14:paraId="1254F4BF" w14:textId="77777777" w:rsidR="00C714DD" w:rsidRDefault="00000000">
            <w:pPr>
              <w:pStyle w:val="ListParagraph"/>
              <w:numPr>
                <w:ilvl w:val="0"/>
                <w:numId w:val="2"/>
              </w:numPr>
              <w:spacing w:after="80" w:line="276" w:lineRule="auto"/>
            </w:pPr>
            <w:r>
              <w:rPr>
                <w:color w:val="333333"/>
                <w:sz w:val="21"/>
                <w:szCs w:val="21"/>
              </w:rPr>
              <w:t>Customer assistance programs should accompany the rate increases to protect households that cannot absorb this cost.</w:t>
            </w:r>
          </w:p>
        </w:tc>
      </w:tr>
    </w:tbl>
    <w:p w14:paraId="1254F4C1" w14:textId="77777777" w:rsidR="00C714DD" w:rsidRDefault="00C714DD">
      <w:pPr>
        <w:spacing w:after="200"/>
      </w:pPr>
    </w:p>
    <w:p w14:paraId="1254F4C2" w14:textId="77777777" w:rsidR="00C714DD" w:rsidRDefault="00000000">
      <w:pPr>
        <w:pStyle w:val="Heading1"/>
      </w:pPr>
      <w:r>
        <w:t>Background</w:t>
      </w:r>
    </w:p>
    <w:p w14:paraId="1254F4C3" w14:textId="77777777" w:rsidR="00C714DD" w:rsidRDefault="00000000">
      <w:pPr>
        <w:spacing w:after="160" w:line="276" w:lineRule="auto"/>
      </w:pPr>
      <w:r>
        <w:rPr>
          <w:color w:val="333333"/>
        </w:rPr>
        <w:t>The City of Bakersfield is proposing sewer rate increases over the next five years to fund critical infrastructure improvements, including the replacement of the Planz Road wastewater treatment plant built in the 1950s. The total investment needed is estimated at $500 to $600 million. These infrastructure needs are real, and this analysis does not dispute them.</w:t>
      </w:r>
    </w:p>
    <w:p w14:paraId="1254F4C4" w14:textId="77777777" w:rsidR="00C714DD" w:rsidRDefault="00000000">
      <w:pPr>
        <w:spacing w:after="160" w:line="276" w:lineRule="auto"/>
      </w:pPr>
      <w:r>
        <w:rPr>
          <w:color w:val="333333"/>
        </w:rPr>
        <w:t>The proposed rate schedule raises the annual single-family residential sewer charge from $247 to $875 over five fiscal years. This charge appears on property tax bills, not monthly utility bills.</w:t>
      </w:r>
    </w:p>
    <w:p w14:paraId="1254F4C5" w14:textId="77777777" w:rsidR="00C714DD" w:rsidRDefault="00000000">
      <w:pPr>
        <w:pStyle w:val="Heading2"/>
      </w:pPr>
      <w:r>
        <w:t>Proposed Rate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3560"/>
      </w:tblGrid>
      <w:tr w:rsidR="00C714DD" w14:paraId="1254F4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4C6" w14:textId="77777777" w:rsidR="00C714DD" w:rsidRDefault="00000000">
            <w:r>
              <w:rPr>
                <w:b/>
                <w:bCs/>
                <w:color w:val="FFFFFF"/>
                <w:sz w:val="20"/>
                <w:szCs w:val="20"/>
              </w:rPr>
              <w:t>Fiscal Year</w:t>
            </w:r>
          </w:p>
        </w:tc>
        <w:tc>
          <w:tcPr>
            <w:tcW w:w="17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4C7" w14:textId="77777777" w:rsidR="00C714DD" w:rsidRDefault="00000000">
            <w:r>
              <w:rPr>
                <w:b/>
                <w:bCs/>
                <w:color w:val="FFFFFF"/>
                <w:sz w:val="20"/>
                <w:szCs w:val="20"/>
              </w:rPr>
              <w:t>Annual Rate</w:t>
            </w:r>
          </w:p>
        </w:tc>
        <w:tc>
          <w:tcPr>
            <w:tcW w:w="17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4C8" w14:textId="77777777" w:rsidR="00C714DD" w:rsidRDefault="00000000">
            <w:r>
              <w:rPr>
                <w:b/>
                <w:bCs/>
                <w:color w:val="FFFFFF"/>
                <w:sz w:val="20"/>
                <w:szCs w:val="20"/>
              </w:rPr>
              <w:t>Monthly Equiv.</w:t>
            </w:r>
          </w:p>
        </w:tc>
        <w:tc>
          <w:tcPr>
            <w:tcW w:w="35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4C9" w14:textId="77777777" w:rsidR="00C714DD" w:rsidRDefault="00000000">
            <w:r>
              <w:rPr>
                <w:b/>
                <w:bCs/>
                <w:color w:val="FFFFFF"/>
                <w:sz w:val="20"/>
                <w:szCs w:val="20"/>
              </w:rPr>
              <w:t>Income Below Which Sewer Is Unaffordable</w:t>
            </w:r>
          </w:p>
        </w:tc>
      </w:tr>
      <w:tr w:rsidR="00C714DD" w14:paraId="1254F4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CB" w14:textId="77777777" w:rsidR="00C714DD" w:rsidRDefault="00000000">
            <w:r>
              <w:rPr>
                <w:color w:val="333333"/>
                <w:sz w:val="20"/>
                <w:szCs w:val="20"/>
              </w:rPr>
              <w:t>Current (FY 25/26)</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CC" w14:textId="77777777" w:rsidR="00C714DD" w:rsidRDefault="00000000">
            <w:r>
              <w:rPr>
                <w:color w:val="333333"/>
                <w:sz w:val="20"/>
                <w:szCs w:val="20"/>
              </w:rPr>
              <w:t>$247</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CD" w14:textId="77777777" w:rsidR="00C714DD" w:rsidRDefault="00000000">
            <w:r>
              <w:rPr>
                <w:color w:val="333333"/>
                <w:sz w:val="20"/>
                <w:szCs w:val="20"/>
              </w:rPr>
              <w:t>$21/mo</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CE" w14:textId="77777777" w:rsidR="00C714DD" w:rsidRDefault="00000000">
            <w:r>
              <w:rPr>
                <w:color w:val="333333"/>
                <w:sz w:val="20"/>
                <w:szCs w:val="20"/>
              </w:rPr>
              <w:t>$9,885</w:t>
            </w:r>
          </w:p>
        </w:tc>
      </w:tr>
      <w:tr w:rsidR="00C714DD" w14:paraId="1254F4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4D0" w14:textId="77777777" w:rsidR="00C714DD" w:rsidRDefault="00000000">
            <w:r>
              <w:rPr>
                <w:color w:val="333333"/>
                <w:sz w:val="20"/>
                <w:szCs w:val="20"/>
              </w:rPr>
              <w:t>FY 26/27</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4D1" w14:textId="77777777" w:rsidR="00C714DD" w:rsidRDefault="00000000">
            <w:r>
              <w:rPr>
                <w:color w:val="333333"/>
                <w:sz w:val="20"/>
                <w:szCs w:val="20"/>
              </w:rPr>
              <w:t>$475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4D2" w14:textId="77777777" w:rsidR="00C714DD" w:rsidRDefault="00000000">
            <w:r>
              <w:rPr>
                <w:color w:val="333333"/>
                <w:sz w:val="20"/>
                <w:szCs w:val="20"/>
              </w:rPr>
              <w:t>$40/mo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4D3" w14:textId="77777777" w:rsidR="00C714DD" w:rsidRDefault="00000000">
            <w:r>
              <w:rPr>
                <w:color w:val="333333"/>
                <w:sz w:val="20"/>
                <w:szCs w:val="20"/>
              </w:rPr>
              <w:t>$19,000</w:t>
            </w:r>
          </w:p>
        </w:tc>
      </w:tr>
      <w:tr w:rsidR="00C714DD" w14:paraId="1254F4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D5" w14:textId="77777777" w:rsidR="00C714DD" w:rsidRDefault="00000000">
            <w:r>
              <w:rPr>
                <w:color w:val="333333"/>
                <w:sz w:val="20"/>
                <w:szCs w:val="20"/>
              </w:rPr>
              <w:t>FY 27/28</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D6" w14:textId="77777777" w:rsidR="00C714DD" w:rsidRDefault="00000000">
            <w:r>
              <w:rPr>
                <w:color w:val="333333"/>
                <w:sz w:val="20"/>
                <w:szCs w:val="20"/>
              </w:rPr>
              <w:t>$575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D7" w14:textId="77777777" w:rsidR="00C714DD" w:rsidRDefault="00000000">
            <w:r>
              <w:rPr>
                <w:color w:val="333333"/>
                <w:sz w:val="20"/>
                <w:szCs w:val="20"/>
              </w:rPr>
              <w:t>$48/mo</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D8" w14:textId="77777777" w:rsidR="00C714DD" w:rsidRDefault="00000000">
            <w:r>
              <w:rPr>
                <w:color w:val="333333"/>
                <w:sz w:val="20"/>
                <w:szCs w:val="20"/>
              </w:rPr>
              <w:t>$23,000</w:t>
            </w:r>
          </w:p>
        </w:tc>
      </w:tr>
      <w:tr w:rsidR="00C714DD" w14:paraId="1254F4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4DA" w14:textId="77777777" w:rsidR="00C714DD" w:rsidRDefault="00000000">
            <w:r>
              <w:rPr>
                <w:color w:val="333333"/>
                <w:sz w:val="20"/>
                <w:szCs w:val="20"/>
              </w:rPr>
              <w:t>FY 28/29</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4DB" w14:textId="77777777" w:rsidR="00C714DD" w:rsidRDefault="00000000">
            <w:r>
              <w:rPr>
                <w:color w:val="333333"/>
                <w:sz w:val="20"/>
                <w:szCs w:val="20"/>
              </w:rPr>
              <w:t>$675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4DC" w14:textId="77777777" w:rsidR="00C714DD" w:rsidRDefault="00000000">
            <w:r>
              <w:rPr>
                <w:color w:val="333333"/>
                <w:sz w:val="20"/>
                <w:szCs w:val="20"/>
              </w:rPr>
              <w:t>$56/mo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4DD" w14:textId="77777777" w:rsidR="00C714DD" w:rsidRDefault="00000000">
            <w:r>
              <w:rPr>
                <w:color w:val="333333"/>
                <w:sz w:val="20"/>
                <w:szCs w:val="20"/>
              </w:rPr>
              <w:t>$27,000</w:t>
            </w:r>
          </w:p>
        </w:tc>
      </w:tr>
      <w:tr w:rsidR="00C714DD" w14:paraId="1254F4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DF" w14:textId="77777777" w:rsidR="00C714DD" w:rsidRDefault="00000000">
            <w:r>
              <w:rPr>
                <w:color w:val="333333"/>
                <w:sz w:val="20"/>
                <w:szCs w:val="20"/>
              </w:rPr>
              <w:t>FY 29/30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E0" w14:textId="77777777" w:rsidR="00C714DD" w:rsidRDefault="00000000">
            <w:r>
              <w:rPr>
                <w:color w:val="333333"/>
                <w:sz w:val="20"/>
                <w:szCs w:val="20"/>
              </w:rPr>
              <w:t>$775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E1" w14:textId="77777777" w:rsidR="00C714DD" w:rsidRDefault="00000000">
            <w:r>
              <w:rPr>
                <w:color w:val="333333"/>
                <w:sz w:val="20"/>
                <w:szCs w:val="20"/>
              </w:rPr>
              <w:t>$65/mo</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E2" w14:textId="77777777" w:rsidR="00C714DD" w:rsidRDefault="00000000">
            <w:r>
              <w:rPr>
                <w:color w:val="333333"/>
                <w:sz w:val="20"/>
                <w:szCs w:val="20"/>
              </w:rPr>
              <w:t>$31,000</w:t>
            </w:r>
          </w:p>
        </w:tc>
      </w:tr>
      <w:tr w:rsidR="00C714DD" w14:paraId="1254F4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4E4" w14:textId="77777777" w:rsidR="00C714DD" w:rsidRDefault="00000000">
            <w:r>
              <w:rPr>
                <w:color w:val="333333"/>
                <w:sz w:val="20"/>
                <w:szCs w:val="20"/>
              </w:rPr>
              <w:t>FY 30/31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4E5" w14:textId="77777777" w:rsidR="00C714DD" w:rsidRDefault="00000000">
            <w:r>
              <w:rPr>
                <w:color w:val="333333"/>
                <w:sz w:val="20"/>
                <w:szCs w:val="20"/>
              </w:rPr>
              <w:t>$875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4E6" w14:textId="77777777" w:rsidR="00C714DD" w:rsidRDefault="00000000">
            <w:r>
              <w:rPr>
                <w:color w:val="333333"/>
                <w:sz w:val="20"/>
                <w:szCs w:val="20"/>
              </w:rPr>
              <w:t>$73/mo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4E7" w14:textId="77777777" w:rsidR="00C714DD" w:rsidRDefault="00000000">
            <w:r>
              <w:rPr>
                <w:color w:val="333333"/>
                <w:sz w:val="20"/>
                <w:szCs w:val="20"/>
              </w:rPr>
              <w:t>$35,000</w:t>
            </w:r>
          </w:p>
        </w:tc>
      </w:tr>
    </w:tbl>
    <w:p w14:paraId="1254F4E9" w14:textId="77777777" w:rsidR="00C714DD" w:rsidRDefault="00C714DD">
      <w:pPr>
        <w:spacing w:after="60"/>
      </w:pPr>
    </w:p>
    <w:p w14:paraId="1254F4EA" w14:textId="77777777" w:rsidR="00C714DD" w:rsidRDefault="00000000">
      <w:pPr>
        <w:spacing w:after="160" w:line="276" w:lineRule="auto"/>
      </w:pPr>
      <w:r>
        <w:rPr>
          <w:i/>
          <w:iCs/>
          <w:color w:val="666666"/>
        </w:rPr>
        <w:t>The last column shows the household income below which the sewer charge exceeds 2.5% of annual income. This threshold comes from U.S. Environmental Protection Agency guidance used to evaluate whether wastewater costs place an unreasonable burden on households.</w:t>
      </w:r>
    </w:p>
    <w:p w14:paraId="1254F4EB" w14:textId="77777777" w:rsidR="00C714DD" w:rsidRDefault="00000000">
      <w:pPr>
        <w:pStyle w:val="Heading1"/>
      </w:pPr>
      <w:r>
        <w:lastRenderedPageBreak/>
        <w:t>The Problem with Comparing Dollar Amounts</w:t>
      </w:r>
    </w:p>
    <w:p w14:paraId="1254F4EC" w14:textId="77777777" w:rsidR="00C714DD" w:rsidRDefault="00000000">
      <w:pPr>
        <w:spacing w:after="160" w:line="276" w:lineRule="auto"/>
      </w:pPr>
      <w:r>
        <w:rPr>
          <w:color w:val="333333"/>
        </w:rPr>
        <w:t>On its website, the city presents a chart comparing Bakersfield’s sewer rate to other California cities. At $247 per year, Bakersfield’s current rate is the lowest on the chart. The message is that even after increases, rates remain below those of cities like Sacramento, Los Angeles, and San Francisco.</w:t>
      </w:r>
    </w:p>
    <w:p w14:paraId="1254F4ED" w14:textId="77777777" w:rsidR="00C714DD" w:rsidRDefault="00000000">
      <w:pPr>
        <w:spacing w:after="160" w:line="276" w:lineRule="auto"/>
      </w:pPr>
      <w:r>
        <w:rPr>
          <w:color w:val="333333"/>
        </w:rPr>
        <w:t>This comparison is misleading because it ignores a basic fact: Bakersfield residents earn less than residents of most of those cities. A $900 sewer bill means something very different to a household earning $136,000 in San Francisco than to a household earning $50,000 in east Bakersfield.</w:t>
      </w:r>
    </w:p>
    <w:p w14:paraId="1254F4EE" w14:textId="77777777" w:rsidR="00C714DD" w:rsidRDefault="00000000">
      <w:pPr>
        <w:spacing w:after="160" w:line="276" w:lineRule="auto"/>
      </w:pPr>
      <w:r>
        <w:rPr>
          <w:color w:val="333333"/>
        </w:rPr>
        <w:t>The table below uses the same cities from the city’s comparison chart but adds median household income and calculates the sewer charge as a percentage of that income.</w:t>
      </w:r>
    </w:p>
    <w:p w14:paraId="1254F4EF" w14:textId="77777777" w:rsidR="00C714DD" w:rsidRDefault="00000000">
      <w:pPr>
        <w:pStyle w:val="Heading2"/>
      </w:pPr>
      <w:r>
        <w:t>Rate Comparison Adjusted for Income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2000"/>
        <w:gridCol w:w="3160"/>
      </w:tblGrid>
      <w:tr w:rsidR="00C714DD" w14:paraId="1254F4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4F0" w14:textId="77777777" w:rsidR="00C714DD" w:rsidRDefault="00000000">
            <w:r>
              <w:rPr>
                <w:b/>
                <w:bCs/>
                <w:color w:val="FFFFFF"/>
                <w:sz w:val="20"/>
                <w:szCs w:val="20"/>
              </w:rPr>
              <w:t>City</w:t>
            </w:r>
          </w:p>
        </w:tc>
        <w:tc>
          <w:tcPr>
            <w:tcW w:w="16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4F1" w14:textId="77777777" w:rsidR="00C714DD" w:rsidRDefault="00000000">
            <w:r>
              <w:rPr>
                <w:b/>
                <w:bCs/>
                <w:color w:val="FFFFFF"/>
                <w:sz w:val="20"/>
                <w:szCs w:val="20"/>
              </w:rPr>
              <w:t>Annual Rate</w:t>
            </w:r>
          </w:p>
        </w:tc>
        <w:tc>
          <w:tcPr>
            <w:tcW w:w="20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4F2" w14:textId="77777777" w:rsidR="00C714DD" w:rsidRDefault="00000000">
            <w:r>
              <w:rPr>
                <w:b/>
                <w:bCs/>
                <w:color w:val="FFFFFF"/>
                <w:sz w:val="20"/>
                <w:szCs w:val="20"/>
              </w:rPr>
              <w:t>Median HH Income</w:t>
            </w:r>
          </w:p>
        </w:tc>
        <w:tc>
          <w:tcPr>
            <w:tcW w:w="31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4F3" w14:textId="77777777" w:rsidR="00C714DD" w:rsidRDefault="00000000">
            <w:r>
              <w:rPr>
                <w:b/>
                <w:bCs/>
                <w:color w:val="FFFFFF"/>
                <w:sz w:val="20"/>
                <w:szCs w:val="20"/>
              </w:rPr>
              <w:t>Sewer as % of MHI</w:t>
            </w:r>
          </w:p>
        </w:tc>
      </w:tr>
      <w:tr w:rsidR="00C714DD" w14:paraId="1254F4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F5" w14:textId="77777777" w:rsidR="00C714DD" w:rsidRDefault="00000000">
            <w:r>
              <w:rPr>
                <w:color w:val="333333"/>
                <w:sz w:val="20"/>
                <w:szCs w:val="20"/>
              </w:rPr>
              <w:t>Bakersfield (current)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F6" w14:textId="77777777" w:rsidR="00C714DD" w:rsidRDefault="00000000">
            <w:r>
              <w:rPr>
                <w:color w:val="333333"/>
                <w:sz w:val="20"/>
                <w:szCs w:val="20"/>
              </w:rPr>
              <w:t>$247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F7" w14:textId="77777777" w:rsidR="00C714DD" w:rsidRDefault="00000000">
            <w:r>
              <w:rPr>
                <w:color w:val="333333"/>
                <w:sz w:val="20"/>
                <w:szCs w:val="20"/>
              </w:rPr>
              <w:t>$82,093</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F8" w14:textId="77777777" w:rsidR="00C714DD" w:rsidRDefault="00000000">
            <w:r>
              <w:rPr>
                <w:color w:val="333333"/>
                <w:sz w:val="20"/>
                <w:szCs w:val="20"/>
              </w:rPr>
              <w:t>0.30%</w:t>
            </w:r>
          </w:p>
        </w:tc>
      </w:tr>
      <w:tr w:rsidR="00C714DD" w14:paraId="1254F4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4FA" w14:textId="77777777" w:rsidR="00C714DD" w:rsidRDefault="00000000">
            <w:r>
              <w:rPr>
                <w:color w:val="333333"/>
                <w:sz w:val="20"/>
                <w:szCs w:val="20"/>
              </w:rPr>
              <w:t>Bakersfield (FY 30/31)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4FB" w14:textId="77777777" w:rsidR="00C714DD" w:rsidRDefault="00000000">
            <w:r>
              <w:rPr>
                <w:color w:val="333333"/>
                <w:sz w:val="20"/>
                <w:szCs w:val="20"/>
              </w:rPr>
              <w:t>$875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4FC" w14:textId="77777777" w:rsidR="00C714DD" w:rsidRDefault="00000000">
            <w:r>
              <w:rPr>
                <w:color w:val="333333"/>
                <w:sz w:val="20"/>
                <w:szCs w:val="20"/>
              </w:rPr>
              <w:t>$82,093</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4FD" w14:textId="77777777" w:rsidR="00C714DD" w:rsidRDefault="00000000">
            <w:r>
              <w:rPr>
                <w:color w:val="333333"/>
                <w:sz w:val="20"/>
                <w:szCs w:val="20"/>
              </w:rPr>
              <w:t>1.07%</w:t>
            </w:r>
          </w:p>
        </w:tc>
      </w:tr>
      <w:tr w:rsidR="00C714DD" w14:paraId="1254F5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4FF" w14:textId="77777777" w:rsidR="00C714DD" w:rsidRDefault="00000000">
            <w:r>
              <w:rPr>
                <w:color w:val="333333"/>
                <w:sz w:val="20"/>
                <w:szCs w:val="20"/>
              </w:rPr>
              <w:t>Fresno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00" w14:textId="77777777" w:rsidR="00C714DD" w:rsidRDefault="00000000">
            <w:r>
              <w:rPr>
                <w:color w:val="333333"/>
                <w:sz w:val="20"/>
                <w:szCs w:val="20"/>
              </w:rPr>
              <w:t>$309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01" w14:textId="77777777" w:rsidR="00C714DD" w:rsidRDefault="00000000">
            <w:r>
              <w:rPr>
                <w:color w:val="333333"/>
                <w:sz w:val="20"/>
                <w:szCs w:val="20"/>
              </w:rPr>
              <w:t>$66,804</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02" w14:textId="77777777" w:rsidR="00C714DD" w:rsidRDefault="00000000">
            <w:r>
              <w:rPr>
                <w:color w:val="333333"/>
                <w:sz w:val="20"/>
                <w:szCs w:val="20"/>
              </w:rPr>
              <w:t>0.46%</w:t>
            </w:r>
          </w:p>
        </w:tc>
      </w:tr>
      <w:tr w:rsidR="00C714DD" w14:paraId="1254F5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04" w14:textId="77777777" w:rsidR="00C714DD" w:rsidRDefault="00000000">
            <w:r>
              <w:rPr>
                <w:color w:val="333333"/>
                <w:sz w:val="20"/>
                <w:szCs w:val="20"/>
              </w:rPr>
              <w:t>City of Shafter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05" w14:textId="77777777" w:rsidR="00C714DD" w:rsidRDefault="00000000">
            <w:r>
              <w:rPr>
                <w:color w:val="333333"/>
                <w:sz w:val="20"/>
                <w:szCs w:val="20"/>
              </w:rPr>
              <w:t>$413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06" w14:textId="77777777" w:rsidR="00C714DD" w:rsidRDefault="00000000">
            <w:r>
              <w:rPr>
                <w:color w:val="333333"/>
                <w:sz w:val="20"/>
                <w:szCs w:val="20"/>
              </w:rPr>
              <w:t>$67,989</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07" w14:textId="77777777" w:rsidR="00C714DD" w:rsidRDefault="00000000">
            <w:r>
              <w:rPr>
                <w:color w:val="333333"/>
                <w:sz w:val="20"/>
                <w:szCs w:val="20"/>
              </w:rPr>
              <w:t>0.61%</w:t>
            </w:r>
          </w:p>
        </w:tc>
      </w:tr>
      <w:tr w:rsidR="00C714DD" w14:paraId="1254F5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09" w14:textId="77777777" w:rsidR="00C714DD" w:rsidRDefault="00000000">
            <w:r>
              <w:rPr>
                <w:color w:val="333333"/>
                <w:sz w:val="20"/>
                <w:szCs w:val="20"/>
              </w:rPr>
              <w:t>City of Arvin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0A" w14:textId="77777777" w:rsidR="00C714DD" w:rsidRDefault="00000000">
            <w:r>
              <w:rPr>
                <w:color w:val="333333"/>
                <w:sz w:val="20"/>
                <w:szCs w:val="20"/>
              </w:rPr>
              <w:t>$727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0B" w14:textId="77777777" w:rsidR="00C714DD" w:rsidRDefault="00000000">
            <w:r>
              <w:rPr>
                <w:color w:val="333333"/>
                <w:sz w:val="20"/>
                <w:szCs w:val="20"/>
              </w:rPr>
              <w:t>$49,984</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0C" w14:textId="77777777" w:rsidR="00C714DD" w:rsidRDefault="00000000">
            <w:r>
              <w:rPr>
                <w:color w:val="333333"/>
                <w:sz w:val="20"/>
                <w:szCs w:val="20"/>
              </w:rPr>
              <w:t>1.45%</w:t>
            </w:r>
          </w:p>
        </w:tc>
      </w:tr>
      <w:tr w:rsidR="00C714DD" w14:paraId="1254F5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0E" w14:textId="77777777" w:rsidR="00C714DD" w:rsidRDefault="00000000">
            <w:r>
              <w:rPr>
                <w:color w:val="333333"/>
                <w:sz w:val="20"/>
                <w:szCs w:val="20"/>
              </w:rPr>
              <w:t>Sacramento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0F" w14:textId="77777777" w:rsidR="00C714DD" w:rsidRDefault="00000000">
            <w:r>
              <w:rPr>
                <w:color w:val="333333"/>
                <w:sz w:val="20"/>
                <w:szCs w:val="20"/>
              </w:rPr>
              <w:t>$832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10" w14:textId="77777777" w:rsidR="00C714DD" w:rsidRDefault="00000000">
            <w:r>
              <w:rPr>
                <w:color w:val="333333"/>
                <w:sz w:val="20"/>
                <w:szCs w:val="20"/>
              </w:rPr>
              <w:t>$76,825</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11" w14:textId="77777777" w:rsidR="00C714DD" w:rsidRDefault="00000000">
            <w:r>
              <w:rPr>
                <w:color w:val="333333"/>
                <w:sz w:val="20"/>
                <w:szCs w:val="20"/>
              </w:rPr>
              <w:t>1.08%</w:t>
            </w:r>
          </w:p>
        </w:tc>
      </w:tr>
      <w:tr w:rsidR="00C714DD" w14:paraId="1254F5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13" w14:textId="77777777" w:rsidR="00C714DD" w:rsidRDefault="00000000">
            <w:r>
              <w:rPr>
                <w:color w:val="333333"/>
                <w:sz w:val="20"/>
                <w:szCs w:val="20"/>
              </w:rPr>
              <w:t>Los Angeles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14" w14:textId="77777777" w:rsidR="00C714DD" w:rsidRDefault="00000000">
            <w:r>
              <w:rPr>
                <w:color w:val="333333"/>
                <w:sz w:val="20"/>
                <w:szCs w:val="20"/>
              </w:rPr>
              <w:t>$910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15" w14:textId="77777777" w:rsidR="00C714DD" w:rsidRDefault="00000000">
            <w:r>
              <w:rPr>
                <w:color w:val="333333"/>
                <w:sz w:val="20"/>
                <w:szCs w:val="20"/>
              </w:rPr>
              <w:t>$75,424</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16" w14:textId="77777777" w:rsidR="00C714DD" w:rsidRDefault="00000000">
            <w:r>
              <w:rPr>
                <w:color w:val="333333"/>
                <w:sz w:val="20"/>
                <w:szCs w:val="20"/>
              </w:rPr>
              <w:t>1.21%</w:t>
            </w:r>
          </w:p>
        </w:tc>
      </w:tr>
      <w:tr w:rsidR="00C714DD" w14:paraId="1254F5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18" w14:textId="77777777" w:rsidR="00C714DD" w:rsidRDefault="00000000">
            <w:r>
              <w:rPr>
                <w:color w:val="333333"/>
                <w:sz w:val="20"/>
                <w:szCs w:val="20"/>
              </w:rPr>
              <w:t>San Francisco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19" w14:textId="77777777" w:rsidR="00C714DD" w:rsidRDefault="00000000">
            <w:r>
              <w:rPr>
                <w:color w:val="333333"/>
                <w:sz w:val="20"/>
                <w:szCs w:val="20"/>
              </w:rPr>
              <w:t>$2,000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1A" w14:textId="77777777" w:rsidR="00C714DD" w:rsidRDefault="00000000">
            <w:r>
              <w:rPr>
                <w:color w:val="333333"/>
                <w:sz w:val="20"/>
                <w:szCs w:val="20"/>
              </w:rPr>
              <w:t>$136,397</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1B" w14:textId="77777777" w:rsidR="00C714DD" w:rsidRDefault="00000000">
            <w:r>
              <w:rPr>
                <w:color w:val="333333"/>
                <w:sz w:val="20"/>
                <w:szCs w:val="20"/>
              </w:rPr>
              <w:t>1.47%</w:t>
            </w:r>
          </w:p>
        </w:tc>
      </w:tr>
    </w:tbl>
    <w:p w14:paraId="1254F51D" w14:textId="77777777" w:rsidR="00C714DD" w:rsidRDefault="00C714DD">
      <w:pPr>
        <w:spacing w:after="60"/>
      </w:pPr>
    </w:p>
    <w:p w14:paraId="1254F51E" w14:textId="77777777" w:rsidR="00C714DD" w:rsidRDefault="00000000">
      <w:pPr>
        <w:spacing w:after="160" w:line="276" w:lineRule="auto"/>
      </w:pPr>
      <w:r>
        <w:rPr>
          <w:i/>
          <w:iCs/>
          <w:color w:val="666666"/>
        </w:rPr>
        <w:t>Sources: Sewer rates from City of Bakersfield website (FY 2025-26). Median household income from U.S. Census Bureau, American Community Survey 2019-2023 5-Year Estimates.</w:t>
      </w:r>
    </w:p>
    <w:p w14:paraId="1254F51F" w14:textId="77777777" w:rsidR="00C714DD" w:rsidRDefault="00C714DD">
      <w:pPr>
        <w:spacing w:after="60"/>
      </w:pPr>
    </w:p>
    <w:p w14:paraId="1254F520" w14:textId="77777777" w:rsidR="00C714DD" w:rsidRDefault="00000000">
      <w:pPr>
        <w:spacing w:after="160" w:line="276" w:lineRule="auto"/>
      </w:pPr>
      <w:r>
        <w:rPr>
          <w:color w:val="333333"/>
        </w:rPr>
        <w:t>When income is considered, Bakersfield at the proposed $875 rate carries a burden (1.07% of MHI) similar to Sacramento (1.08%) and higher than Fresno (0.46%). The comparison to San Francisco, which the city highlights, obscures that San Francisco residents earn roughly 66% more than Bakersfield residents.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4DD" w14:paraId="1254F522" w14:textId="77777777">
        <w:tblPrEx>
          <w:tblCellMar>
            <w:top w:w="0" w:type="dxa"/>
            <w:bottom w:w="0" w:type="dxa"/>
          </w:tblCellMar>
        </w:tblPrEx>
        <w:tc>
          <w:tcPr>
            <w:tcW w:w="9360" w:type="dxa"/>
            <w:tcBorders>
              <w:top w:val="dashed" w:sz="2" w:space="0" w:color="999999"/>
              <w:left w:val="dashed" w:sz="2" w:space="0" w:color="999999"/>
              <w:bottom w:val="dashed" w:sz="2" w:space="0" w:color="999999"/>
              <w:right w:val="dashed" w:sz="2" w:space="0" w:color="999999"/>
            </w:tcBorders>
            <w:tcMar>
              <w:top w:w="200" w:type="dxa"/>
              <w:left w:w="120" w:type="dxa"/>
              <w:bottom w:w="200" w:type="dxa"/>
              <w:right w:w="120" w:type="dxa"/>
            </w:tcMar>
          </w:tcPr>
          <w:p w14:paraId="1254F521" w14:textId="77777777" w:rsidR="00C714DD" w:rsidRDefault="00000000">
            <w:pPr>
              <w:jc w:val="center"/>
            </w:pPr>
            <w:r>
              <w:rPr>
                <w:i/>
                <w:iCs/>
                <w:color w:val="999999"/>
              </w:rPr>
              <w:t>[ INSERT FIGURE 6b: Income-Normalized Rate Comparison Chart HERE ]</w:t>
            </w:r>
          </w:p>
        </w:tc>
      </w:tr>
    </w:tbl>
    <w:p w14:paraId="1254F523" w14:textId="77777777" w:rsidR="00C714DD" w:rsidRDefault="00000000">
      <w:r>
        <w:br w:type="page"/>
      </w:r>
    </w:p>
    <w:p w14:paraId="1254F524" w14:textId="77777777" w:rsidR="00C714DD" w:rsidRDefault="00000000">
      <w:pPr>
        <w:pStyle w:val="Heading1"/>
      </w:pPr>
      <w:r>
        <w:lastRenderedPageBreak/>
        <w:t>Two Ways to Measure Who Is Affected</w:t>
      </w:r>
    </w:p>
    <w:p w14:paraId="1254F525" w14:textId="77777777" w:rsidR="00C714DD" w:rsidRDefault="00000000">
      <w:pPr>
        <w:spacing w:after="160" w:line="276" w:lineRule="auto"/>
      </w:pPr>
      <w:r>
        <w:rPr>
          <w:color w:val="333333"/>
        </w:rPr>
        <w:t>Saying that a rate is “affordable” or “unaffordable” requires looking at income. There are two approaches to doing this, and they produce very different answers.</w:t>
      </w:r>
    </w:p>
    <w:p w14:paraId="1254F526" w14:textId="77777777" w:rsidR="00C714DD" w:rsidRDefault="00000000">
      <w:pPr>
        <w:pStyle w:val="Heading2"/>
      </w:pPr>
      <w:r>
        <w:t>Method 1: Median Household Income (MHI-Based)</w:t>
      </w:r>
    </w:p>
    <w:p w14:paraId="1254F527" w14:textId="77777777" w:rsidR="00C714DD" w:rsidRDefault="00000000">
      <w:pPr>
        <w:spacing w:after="160" w:line="276" w:lineRule="auto"/>
      </w:pPr>
      <w:r>
        <w:rPr>
          <w:color w:val="333333"/>
        </w:rPr>
        <w:t>The traditional approach looks at the median household income for each census tract (a small geographic area, typically a few thousand people). The median is the middle value: half of households earn more, half earn less. If the sewer rate exceeds 2.5% of that median, the entire tract is considered to have an affordability problem.</w:t>
      </w:r>
    </w:p>
    <w:p w14:paraId="1254F528" w14:textId="77777777" w:rsidR="00C714DD" w:rsidRDefault="00000000">
      <w:pPr>
        <w:spacing w:after="160" w:line="276" w:lineRule="auto"/>
      </w:pPr>
      <w:r>
        <w:rPr>
          <w:color w:val="333333"/>
        </w:rPr>
        <w:t>This method is simple but has a major blind spot. Consider a tract where the median household income is $50,000. At a sewer rate of $875 per year, the rate is 1.75% of the median, so the tract is labeled “affordable.” But that same tract still has many households earning $15,000, $20,000, or $30,000 for whom $875 represents 5.8%, 4.4%, or 2.9% of their income. The MHI method ignores every one of those households because they fall below the median.</w:t>
      </w:r>
    </w:p>
    <w:p w14:paraId="1254F529" w14:textId="77777777" w:rsidR="00C714DD" w:rsidRDefault="00000000">
      <w:pPr>
        <w:pStyle w:val="Heading2"/>
      </w:pPr>
      <w:r>
        <w:t>MHI-Based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C714DD" w14:paraId="1254F5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52A" w14:textId="77777777" w:rsidR="00C714DD" w:rsidRDefault="00000000">
            <w:r>
              <w:rPr>
                <w:b/>
                <w:bCs/>
                <w:color w:val="FFFFFF"/>
                <w:sz w:val="20"/>
                <w:szCs w:val="20"/>
              </w:rPr>
              <w:t>Rate Scenario</w:t>
            </w:r>
          </w:p>
        </w:tc>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52B" w14:textId="77777777" w:rsidR="00C714DD" w:rsidRDefault="00000000">
            <w:r>
              <w:rPr>
                <w:b/>
                <w:bCs/>
                <w:color w:val="FFFFFF"/>
                <w:sz w:val="20"/>
                <w:szCs w:val="20"/>
              </w:rPr>
              <w:t>Households Affected</w:t>
            </w:r>
          </w:p>
        </w:tc>
        <w:tc>
          <w:tcPr>
            <w:tcW w:w="28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52C" w14:textId="77777777" w:rsidR="00C714DD" w:rsidRDefault="00000000">
            <w:r>
              <w:rPr>
                <w:b/>
                <w:bCs/>
                <w:color w:val="FFFFFF"/>
                <w:sz w:val="20"/>
                <w:szCs w:val="20"/>
              </w:rPr>
              <w:t>% of All Households</w:t>
            </w:r>
          </w:p>
        </w:tc>
      </w:tr>
      <w:tr w:rsidR="00C714DD" w14:paraId="1254F53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2E" w14:textId="77777777" w:rsidR="00C714DD" w:rsidRDefault="00000000">
            <w:r>
              <w:rPr>
                <w:color w:val="333333"/>
                <w:sz w:val="20"/>
                <w:szCs w:val="20"/>
              </w:rPr>
              <w:t>Current ($247/yr)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2F" w14:textId="77777777" w:rsidR="00C714DD" w:rsidRDefault="00000000">
            <w:r>
              <w:rPr>
                <w:color w:val="333333"/>
                <w:sz w:val="20"/>
                <w:szCs w:val="20"/>
              </w:rPr>
              <w:t>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30" w14:textId="77777777" w:rsidR="00C714DD" w:rsidRDefault="00000000">
            <w:r>
              <w:rPr>
                <w:color w:val="333333"/>
                <w:sz w:val="20"/>
                <w:szCs w:val="20"/>
              </w:rPr>
              <w:t>0%</w:t>
            </w:r>
          </w:p>
        </w:tc>
      </w:tr>
      <w:tr w:rsidR="00C714DD" w14:paraId="1254F53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32" w14:textId="77777777" w:rsidR="00C714DD" w:rsidRDefault="00000000">
            <w:r>
              <w:rPr>
                <w:color w:val="333333"/>
                <w:sz w:val="20"/>
                <w:szCs w:val="20"/>
              </w:rPr>
              <w:t>FY 26/27 ($475/yr)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33" w14:textId="77777777" w:rsidR="00C714DD" w:rsidRDefault="00000000">
            <w:r>
              <w:rPr>
                <w:color w:val="333333"/>
                <w:sz w:val="20"/>
                <w:szCs w:val="20"/>
              </w:rPr>
              <w:t>~2,200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34" w14:textId="77777777" w:rsidR="00C714DD" w:rsidRDefault="00000000">
            <w:r>
              <w:rPr>
                <w:color w:val="333333"/>
                <w:sz w:val="20"/>
                <w:szCs w:val="20"/>
              </w:rPr>
              <w:t>1.6%</w:t>
            </w:r>
          </w:p>
        </w:tc>
      </w:tr>
      <w:tr w:rsidR="00C714DD" w14:paraId="1254F53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36" w14:textId="77777777" w:rsidR="00C714DD" w:rsidRDefault="00000000">
            <w:r>
              <w:rPr>
                <w:color w:val="333333"/>
                <w:sz w:val="20"/>
                <w:szCs w:val="20"/>
              </w:rPr>
              <w:t>FY 27/28 ($575/yr)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37" w14:textId="77777777" w:rsidR="00C714DD" w:rsidRDefault="00000000">
            <w:r>
              <w:rPr>
                <w:color w:val="333333"/>
                <w:sz w:val="20"/>
                <w:szCs w:val="20"/>
              </w:rPr>
              <w:t>~2,200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38" w14:textId="77777777" w:rsidR="00C714DD" w:rsidRDefault="00000000">
            <w:r>
              <w:rPr>
                <w:color w:val="333333"/>
                <w:sz w:val="20"/>
                <w:szCs w:val="20"/>
              </w:rPr>
              <w:t>1.6%</w:t>
            </w:r>
          </w:p>
        </w:tc>
      </w:tr>
      <w:tr w:rsidR="00C714DD" w14:paraId="1254F5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3A" w14:textId="77777777" w:rsidR="00C714DD" w:rsidRDefault="00000000">
            <w:r>
              <w:rPr>
                <w:color w:val="333333"/>
                <w:sz w:val="20"/>
                <w:szCs w:val="20"/>
              </w:rPr>
              <w:t>FY 28/29 ($675/yr)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3B" w14:textId="77777777" w:rsidR="00C714DD" w:rsidRDefault="00000000">
            <w:r>
              <w:rPr>
                <w:color w:val="333333"/>
                <w:sz w:val="20"/>
                <w:szCs w:val="20"/>
              </w:rPr>
              <w:t>~3,800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3C" w14:textId="77777777" w:rsidR="00C714DD" w:rsidRDefault="00000000">
            <w:r>
              <w:rPr>
                <w:color w:val="333333"/>
                <w:sz w:val="20"/>
                <w:szCs w:val="20"/>
              </w:rPr>
              <w:t>2.7%</w:t>
            </w:r>
          </w:p>
        </w:tc>
      </w:tr>
      <w:tr w:rsidR="00C714DD" w14:paraId="1254F5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3E" w14:textId="77777777" w:rsidR="00C714DD" w:rsidRDefault="00000000">
            <w:r>
              <w:rPr>
                <w:color w:val="333333"/>
                <w:sz w:val="20"/>
                <w:szCs w:val="20"/>
              </w:rPr>
              <w:t>FY 29/30 ($775/yr)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3F" w14:textId="77777777" w:rsidR="00C714DD" w:rsidRDefault="00000000">
            <w:r>
              <w:rPr>
                <w:color w:val="333333"/>
                <w:sz w:val="20"/>
                <w:szCs w:val="20"/>
              </w:rPr>
              <w:t>~8,800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40" w14:textId="77777777" w:rsidR="00C714DD" w:rsidRDefault="00000000">
            <w:r>
              <w:rPr>
                <w:color w:val="333333"/>
                <w:sz w:val="20"/>
                <w:szCs w:val="20"/>
              </w:rPr>
              <w:t>6.3%</w:t>
            </w:r>
          </w:p>
        </w:tc>
      </w:tr>
      <w:tr w:rsidR="00C714DD" w14:paraId="1254F54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42" w14:textId="77777777" w:rsidR="00C714DD" w:rsidRDefault="00000000">
            <w:r>
              <w:rPr>
                <w:color w:val="333333"/>
                <w:sz w:val="20"/>
                <w:szCs w:val="20"/>
              </w:rPr>
              <w:t>FY 30/31 ($875/yr)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43" w14:textId="77777777" w:rsidR="00C714DD" w:rsidRDefault="00000000">
            <w:r>
              <w:rPr>
                <w:color w:val="333333"/>
                <w:sz w:val="20"/>
                <w:szCs w:val="20"/>
              </w:rPr>
              <w:t>~12,300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44" w14:textId="77777777" w:rsidR="00C714DD" w:rsidRDefault="00000000">
            <w:r>
              <w:rPr>
                <w:color w:val="333333"/>
                <w:sz w:val="20"/>
                <w:szCs w:val="20"/>
              </w:rPr>
              <w:t>8.8%</w:t>
            </w:r>
          </w:p>
        </w:tc>
      </w:tr>
    </w:tbl>
    <w:p w14:paraId="1254F546" w14:textId="77777777" w:rsidR="00C714DD" w:rsidRDefault="00C714DD">
      <w:pPr>
        <w:spacing w:after="60"/>
      </w:pPr>
    </w:p>
    <w:p w14:paraId="1254F547" w14:textId="77777777" w:rsidR="00C714DD" w:rsidRDefault="00000000">
      <w:pPr>
        <w:spacing w:after="160" w:line="276" w:lineRule="auto"/>
      </w:pPr>
      <w:r>
        <w:rPr>
          <w:color w:val="333333"/>
        </w:rPr>
        <w:t>Using the MHI method, no census tracts in Bakersfield appear to have an affordability problem at the current rate. Even at the proposed $875 rate, only 13 tracts (containing about 12,300 households, or 8.8%) are flagged. The method suggests the increase is manageable for most of the service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4DD" w14:paraId="1254F549" w14:textId="77777777">
        <w:tblPrEx>
          <w:tblCellMar>
            <w:top w:w="0" w:type="dxa"/>
            <w:bottom w:w="0" w:type="dxa"/>
          </w:tblCellMar>
        </w:tblPrEx>
        <w:tc>
          <w:tcPr>
            <w:tcW w:w="9360" w:type="dxa"/>
            <w:tcBorders>
              <w:top w:val="dashed" w:sz="2" w:space="0" w:color="999999"/>
              <w:left w:val="dashed" w:sz="2" w:space="0" w:color="999999"/>
              <w:bottom w:val="dashed" w:sz="2" w:space="0" w:color="999999"/>
              <w:right w:val="dashed" w:sz="2" w:space="0" w:color="999999"/>
            </w:tcBorders>
            <w:tcMar>
              <w:top w:w="200" w:type="dxa"/>
              <w:left w:w="120" w:type="dxa"/>
              <w:bottom w:w="200" w:type="dxa"/>
              <w:right w:w="120" w:type="dxa"/>
            </w:tcMar>
          </w:tcPr>
          <w:p w14:paraId="1254F548" w14:textId="77777777" w:rsidR="00C714DD" w:rsidRDefault="00000000">
            <w:pPr>
              <w:jc w:val="center"/>
            </w:pPr>
            <w:r>
              <w:rPr>
                <w:i/>
                <w:iCs/>
                <w:color w:val="999999"/>
              </w:rPr>
              <w:t>[ INSERT FIGURE 2b: MHI-Based Bar Chart (blue bars, same format as Figure 1) HERE ]</w:t>
            </w:r>
          </w:p>
        </w:tc>
      </w:tr>
    </w:tbl>
    <w:p w14:paraId="1254F54A" w14:textId="77777777" w:rsidR="00C714DD" w:rsidRDefault="00000000">
      <w:pPr>
        <w:pStyle w:val="Heading2"/>
      </w:pPr>
      <w:r>
        <w:t>Method 2: Income Bracket-Based (Household-Level)</w:t>
      </w:r>
    </w:p>
    <w:p w14:paraId="1254F54B" w14:textId="77777777" w:rsidR="00C714DD" w:rsidRDefault="00000000">
      <w:pPr>
        <w:spacing w:after="160" w:line="276" w:lineRule="auto"/>
      </w:pPr>
      <w:r>
        <w:rPr>
          <w:color w:val="333333"/>
        </w:rPr>
        <w:t>A more detailed approach, developed by researchers at the University of Alabama and published in the ASCE Journal of Water Resources Planning and Management (Maxcy-Brown et al., 2024), uses the full income distribution within each census tract instead of just the median.</w:t>
      </w:r>
    </w:p>
    <w:p w14:paraId="1254F54C" w14:textId="77777777" w:rsidR="00C714DD" w:rsidRDefault="00000000">
      <w:pPr>
        <w:spacing w:after="160" w:line="276" w:lineRule="auto"/>
      </w:pPr>
      <w:r>
        <w:rPr>
          <w:color w:val="333333"/>
        </w:rPr>
        <w:t xml:space="preserve">The U.S. Census Bureau reports how many households in each tract fall into each income range: under $10,000, $10,000 to $14,999, $15,000 to $19,999, and so on, up through </w:t>
      </w:r>
      <w:r>
        <w:rPr>
          <w:color w:val="333333"/>
        </w:rPr>
        <w:lastRenderedPageBreak/>
        <w:t>$200,000 and above. This analysis uses those counts to estimate the actual number of households below the income threshold at which sewer becomes unaffordable.</w:t>
      </w:r>
    </w:p>
    <w:p w14:paraId="1254F54D" w14:textId="77777777" w:rsidR="00C714DD" w:rsidRDefault="00000000">
      <w:pPr>
        <w:spacing w:after="160" w:line="276" w:lineRule="auto"/>
      </w:pPr>
      <w:r>
        <w:rPr>
          <w:color w:val="333333"/>
        </w:rPr>
        <w:t>For example, at a rate of $875 per year, any household earning less than $35,000 spends more than 2.5% of its income on sewer. Rather than checking whether the tract’s median is above or below $35,000, this method counts the actual households in the $0-$10,000 range, the $10,000-$15,000 range, the $15,000-$20,000 range, and so on, up to $35,000.</w:t>
      </w:r>
    </w:p>
    <w:p w14:paraId="1254F54E" w14:textId="77777777" w:rsidR="00C714DD" w:rsidRDefault="00000000">
      <w:pPr>
        <w:pStyle w:val="Heading2"/>
      </w:pPr>
      <w:r>
        <w:t>Income Bracket-Based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C714DD" w14:paraId="1254F5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54F" w14:textId="77777777" w:rsidR="00C714DD" w:rsidRDefault="00000000">
            <w:r>
              <w:rPr>
                <w:b/>
                <w:bCs/>
                <w:color w:val="FFFFFF"/>
                <w:sz w:val="20"/>
                <w:szCs w:val="20"/>
              </w:rPr>
              <w:t>Rate Scenario</w:t>
            </w:r>
          </w:p>
        </w:tc>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550" w14:textId="77777777" w:rsidR="00C714DD" w:rsidRDefault="00000000">
            <w:r>
              <w:rPr>
                <w:b/>
                <w:bCs/>
                <w:color w:val="FFFFFF"/>
                <w:sz w:val="20"/>
                <w:szCs w:val="20"/>
              </w:rPr>
              <w:t>Households Affected</w:t>
            </w:r>
          </w:p>
        </w:tc>
        <w:tc>
          <w:tcPr>
            <w:tcW w:w="28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551" w14:textId="77777777" w:rsidR="00C714DD" w:rsidRDefault="00000000">
            <w:r>
              <w:rPr>
                <w:b/>
                <w:bCs/>
                <w:color w:val="FFFFFF"/>
                <w:sz w:val="20"/>
                <w:szCs w:val="20"/>
              </w:rPr>
              <w:t>% of All Households</w:t>
            </w:r>
          </w:p>
        </w:tc>
      </w:tr>
      <w:tr w:rsidR="00C714DD" w14:paraId="1254F5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53" w14:textId="77777777" w:rsidR="00C714DD" w:rsidRDefault="00000000">
            <w:r>
              <w:rPr>
                <w:color w:val="333333"/>
                <w:sz w:val="20"/>
                <w:szCs w:val="20"/>
              </w:rPr>
              <w:t>Current ($247/yr)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54" w14:textId="77777777" w:rsidR="00C714DD" w:rsidRDefault="00000000">
            <w:r>
              <w:rPr>
                <w:color w:val="333333"/>
                <w:sz w:val="20"/>
                <w:szCs w:val="20"/>
              </w:rPr>
              <w:t>~6,200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55" w14:textId="77777777" w:rsidR="00C714DD" w:rsidRDefault="00000000">
            <w:r>
              <w:rPr>
                <w:color w:val="333333"/>
                <w:sz w:val="20"/>
                <w:szCs w:val="20"/>
              </w:rPr>
              <w:t>4.4%</w:t>
            </w:r>
          </w:p>
        </w:tc>
      </w:tr>
      <w:tr w:rsidR="00C714DD" w14:paraId="1254F5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57" w14:textId="77777777" w:rsidR="00C714DD" w:rsidRDefault="00000000">
            <w:r>
              <w:rPr>
                <w:color w:val="333333"/>
                <w:sz w:val="20"/>
                <w:szCs w:val="20"/>
              </w:rPr>
              <w:t>FY 26/27 ($475/yr)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58" w14:textId="77777777" w:rsidR="00C714DD" w:rsidRDefault="00000000">
            <w:r>
              <w:rPr>
                <w:color w:val="333333"/>
                <w:sz w:val="20"/>
                <w:szCs w:val="20"/>
              </w:rPr>
              <w:t>~16,400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59" w14:textId="77777777" w:rsidR="00C714DD" w:rsidRDefault="00000000">
            <w:r>
              <w:rPr>
                <w:color w:val="333333"/>
                <w:sz w:val="20"/>
                <w:szCs w:val="20"/>
              </w:rPr>
              <w:t>11.7%</w:t>
            </w:r>
          </w:p>
        </w:tc>
      </w:tr>
      <w:tr w:rsidR="00C714DD" w14:paraId="1254F5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5B" w14:textId="77777777" w:rsidR="00C714DD" w:rsidRDefault="00000000">
            <w:r>
              <w:rPr>
                <w:color w:val="333333"/>
                <w:sz w:val="20"/>
                <w:szCs w:val="20"/>
              </w:rPr>
              <w:t>FY 27/28 ($575/yr)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5C" w14:textId="77777777" w:rsidR="00C714DD" w:rsidRDefault="00000000">
            <w:r>
              <w:rPr>
                <w:color w:val="333333"/>
                <w:sz w:val="20"/>
                <w:szCs w:val="20"/>
              </w:rPr>
              <w:t>~20,300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5D" w14:textId="77777777" w:rsidR="00C714DD" w:rsidRDefault="00000000">
            <w:r>
              <w:rPr>
                <w:color w:val="333333"/>
                <w:sz w:val="20"/>
                <w:szCs w:val="20"/>
              </w:rPr>
              <w:t>14.5%</w:t>
            </w:r>
          </w:p>
        </w:tc>
      </w:tr>
      <w:tr w:rsidR="00C714DD" w14:paraId="1254F56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5F" w14:textId="77777777" w:rsidR="00C714DD" w:rsidRDefault="00000000">
            <w:r>
              <w:rPr>
                <w:color w:val="333333"/>
                <w:sz w:val="20"/>
                <w:szCs w:val="20"/>
              </w:rPr>
              <w:t>FY 28/29 ($675/yr)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60" w14:textId="77777777" w:rsidR="00C714DD" w:rsidRDefault="00000000">
            <w:r>
              <w:rPr>
                <w:color w:val="333333"/>
                <w:sz w:val="20"/>
                <w:szCs w:val="20"/>
              </w:rPr>
              <w:t>~24,800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61" w14:textId="77777777" w:rsidR="00C714DD" w:rsidRDefault="00000000">
            <w:r>
              <w:rPr>
                <w:color w:val="333333"/>
                <w:sz w:val="20"/>
                <w:szCs w:val="20"/>
              </w:rPr>
              <w:t>17.7%</w:t>
            </w:r>
          </w:p>
        </w:tc>
      </w:tr>
      <w:tr w:rsidR="00C714DD" w14:paraId="1254F5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63" w14:textId="77777777" w:rsidR="00C714DD" w:rsidRDefault="00000000">
            <w:r>
              <w:rPr>
                <w:color w:val="333333"/>
                <w:sz w:val="20"/>
                <w:szCs w:val="20"/>
              </w:rPr>
              <w:t>FY 29/30 ($775/yr)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64" w14:textId="77777777" w:rsidR="00C714DD" w:rsidRDefault="00000000">
            <w:r>
              <w:rPr>
                <w:color w:val="333333"/>
                <w:sz w:val="20"/>
                <w:szCs w:val="20"/>
              </w:rPr>
              <w:t>~29,500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65" w14:textId="77777777" w:rsidR="00C714DD" w:rsidRDefault="00000000">
            <w:r>
              <w:rPr>
                <w:color w:val="333333"/>
                <w:sz w:val="20"/>
                <w:szCs w:val="20"/>
              </w:rPr>
              <w:t>21.1%</w:t>
            </w:r>
          </w:p>
        </w:tc>
      </w:tr>
      <w:tr w:rsidR="00C714DD" w14:paraId="1254F56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67" w14:textId="77777777" w:rsidR="00C714DD" w:rsidRDefault="00000000">
            <w:r>
              <w:rPr>
                <w:color w:val="333333"/>
                <w:sz w:val="20"/>
                <w:szCs w:val="20"/>
              </w:rPr>
              <w:t>FY 30/31 ($875/yr)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68" w14:textId="77777777" w:rsidR="00C714DD" w:rsidRDefault="00000000">
            <w:r>
              <w:rPr>
                <w:color w:val="333333"/>
                <w:sz w:val="20"/>
                <w:szCs w:val="20"/>
              </w:rPr>
              <w:t>~33,700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69" w14:textId="77777777" w:rsidR="00C714DD" w:rsidRDefault="00000000">
            <w:r>
              <w:rPr>
                <w:color w:val="333333"/>
                <w:sz w:val="20"/>
                <w:szCs w:val="20"/>
              </w:rPr>
              <w:t>24.1%</w:t>
            </w:r>
          </w:p>
        </w:tc>
      </w:tr>
    </w:tbl>
    <w:p w14:paraId="1254F56B" w14:textId="77777777" w:rsidR="00C714DD" w:rsidRDefault="00C714DD">
      <w:pPr>
        <w:spacing w:after="60"/>
      </w:pPr>
    </w:p>
    <w:p w14:paraId="1254F56C" w14:textId="77777777" w:rsidR="00C714DD" w:rsidRDefault="00000000">
      <w:pPr>
        <w:spacing w:after="160" w:line="276" w:lineRule="auto"/>
      </w:pPr>
      <w:r>
        <w:rPr>
          <w:color w:val="333333"/>
        </w:rPr>
        <w:t>This method reveals a much larger problem. At the current rate, approximately 6,200 households (4.4%) already face affordability challenges. By FY 30/31, that number grows to approximately 33,700 households, or 24.1% of all households in the service area. About one in four households would spend more than the affordability guideline on sewer charges alone, before accounting for water bills, which are also increasing.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4DD" w14:paraId="1254F56E" w14:textId="77777777">
        <w:tblPrEx>
          <w:tblCellMar>
            <w:top w:w="0" w:type="dxa"/>
            <w:bottom w:w="0" w:type="dxa"/>
          </w:tblCellMar>
        </w:tblPrEx>
        <w:tc>
          <w:tcPr>
            <w:tcW w:w="9360" w:type="dxa"/>
            <w:tcBorders>
              <w:top w:val="dashed" w:sz="2" w:space="0" w:color="999999"/>
              <w:left w:val="dashed" w:sz="2" w:space="0" w:color="999999"/>
              <w:bottom w:val="dashed" w:sz="2" w:space="0" w:color="999999"/>
              <w:right w:val="dashed" w:sz="2" w:space="0" w:color="999999"/>
            </w:tcBorders>
            <w:tcMar>
              <w:top w:w="200" w:type="dxa"/>
              <w:left w:w="120" w:type="dxa"/>
              <w:bottom w:w="200" w:type="dxa"/>
              <w:right w:w="120" w:type="dxa"/>
            </w:tcMar>
          </w:tcPr>
          <w:p w14:paraId="1254F56D" w14:textId="77777777" w:rsidR="00C714DD" w:rsidRDefault="00000000">
            <w:pPr>
              <w:jc w:val="center"/>
            </w:pPr>
            <w:r>
              <w:rPr>
                <w:i/>
                <w:iCs/>
                <w:color w:val="999999"/>
              </w:rPr>
              <w:t>[ INSERT FIGURE 1: Income Bracket-Based Bar Chart (red bars, % and HH count) HERE ]</w:t>
            </w:r>
          </w:p>
        </w:tc>
      </w:tr>
    </w:tbl>
    <w:p w14:paraId="1254F56F" w14:textId="77777777" w:rsidR="00C714DD" w:rsidRDefault="00000000">
      <w:pPr>
        <w:pStyle w:val="Heading2"/>
      </w:pPr>
      <w:r>
        <w:t>Why Do the Two Methods Give Such Different Answers?</w:t>
      </w:r>
    </w:p>
    <w:p w14:paraId="1254F570" w14:textId="77777777" w:rsidR="00C714DD" w:rsidRDefault="00000000">
      <w:pPr>
        <w:spacing w:after="160" w:line="276" w:lineRule="auto"/>
      </w:pPr>
      <w:r>
        <w:rPr>
          <w:color w:val="333333"/>
        </w:rPr>
        <w:t>At the proposed $875 rate, the MHI method finds 8.8% of households affected. The income bracket method finds 24.1%, nearly three times more. The gap exists because most Bakersfield census tracts have median incomes well above $35,000, so the MHI method labels them affordable. But every tract has a range of incomes, and the bracket method counts the lower-income households within those tracts that the median hides.</w:t>
      </w:r>
    </w:p>
    <w:p w14:paraId="1254F571" w14:textId="77777777" w:rsidR="00C714DD" w:rsidRDefault="00000000">
      <w:pPr>
        <w:spacing w:after="160" w:line="276" w:lineRule="auto"/>
      </w:pPr>
      <w:r>
        <w:rPr>
          <w:color w:val="333333"/>
        </w:rPr>
        <w:t>This is not a theoretical concern. In their statewide analysis of Alabama, Maxcy-Brown et al. (2024) found the same pattern: the MHI-based approach systematically undercounts the households facing affordability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4DD" w14:paraId="1254F573" w14:textId="77777777">
        <w:tblPrEx>
          <w:tblCellMar>
            <w:top w:w="0" w:type="dxa"/>
            <w:bottom w:w="0" w:type="dxa"/>
          </w:tblCellMar>
        </w:tblPrEx>
        <w:tc>
          <w:tcPr>
            <w:tcW w:w="9360" w:type="dxa"/>
            <w:tcBorders>
              <w:top w:val="dashed" w:sz="2" w:space="0" w:color="999999"/>
              <w:left w:val="dashed" w:sz="2" w:space="0" w:color="999999"/>
              <w:bottom w:val="dashed" w:sz="2" w:space="0" w:color="999999"/>
              <w:right w:val="dashed" w:sz="2" w:space="0" w:color="999999"/>
            </w:tcBorders>
            <w:tcMar>
              <w:top w:w="200" w:type="dxa"/>
              <w:left w:w="120" w:type="dxa"/>
              <w:bottom w:w="200" w:type="dxa"/>
              <w:right w:w="120" w:type="dxa"/>
            </w:tcMar>
          </w:tcPr>
          <w:p w14:paraId="1254F572" w14:textId="77777777" w:rsidR="00C714DD" w:rsidRDefault="00000000">
            <w:pPr>
              <w:jc w:val="center"/>
            </w:pPr>
            <w:r>
              <w:rPr>
                <w:i/>
                <w:iCs/>
                <w:color w:val="999999"/>
              </w:rPr>
              <w:t>[ INSERT FIGURE 2: Side-by-Side Comparison (MHI vs. Bracket Method) HERE ]</w:t>
            </w:r>
          </w:p>
        </w:tc>
      </w:tr>
    </w:tbl>
    <w:p w14:paraId="1254F574" w14:textId="77777777" w:rsidR="00C714DD" w:rsidRDefault="00000000">
      <w:r>
        <w:br w:type="page"/>
      </w:r>
    </w:p>
    <w:p w14:paraId="1254F575" w14:textId="77777777" w:rsidR="00C714DD" w:rsidRDefault="00000000">
      <w:pPr>
        <w:pStyle w:val="Heading1"/>
      </w:pPr>
      <w:r>
        <w:lastRenderedPageBreak/>
        <w:t>What About Rising Incomes?</w:t>
      </w:r>
    </w:p>
    <w:p w14:paraId="1254F576" w14:textId="77777777" w:rsidR="00C714DD" w:rsidRDefault="00000000">
      <w:pPr>
        <w:spacing w:after="160" w:line="276" w:lineRule="auto"/>
      </w:pPr>
      <w:r>
        <w:rPr>
          <w:color w:val="333333"/>
        </w:rPr>
        <w:t>A reasonable response to these findings is that household incomes will also grow over the next five years, potentially offsetting the rate increases. This analysis tested that assumption under four scenarios.</w:t>
      </w:r>
    </w:p>
    <w:p w14:paraId="1254F577" w14:textId="77777777" w:rsidR="00C714DD" w:rsidRDefault="00000000">
      <w:pPr>
        <w:spacing w:after="160" w:line="276" w:lineRule="auto"/>
      </w:pPr>
      <w:r>
        <w:rPr>
          <w:color w:val="333333"/>
        </w:rPr>
        <w:t>The math is straightforward. The proposed rate increase from $247 to $875 represents a 254% increase. Even at a very optimistic 5% annual income growth sustained over nine years (from the Census data midpoint to FY 30/31), cumulative income growth would be approximately 55%. The rate increase outpaces even the most generous income growth assumption by a wide margin.</w:t>
      </w:r>
    </w:p>
    <w:p w14:paraId="1254F578" w14:textId="77777777" w:rsidR="00C714DD" w:rsidRDefault="00000000">
      <w:pPr>
        <w:pStyle w:val="Heading2"/>
      </w:pPr>
      <w:r>
        <w:t>Households Affected at FY 30/31 Under Different Income Growth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C714DD" w14:paraId="1254F57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579" w14:textId="77777777" w:rsidR="00C714DD" w:rsidRDefault="00000000">
            <w:r>
              <w:rPr>
                <w:b/>
                <w:bCs/>
                <w:color w:val="FFFFFF"/>
                <w:sz w:val="20"/>
                <w:szCs w:val="20"/>
              </w:rPr>
              <w:t>Income Growth Rate</w:t>
            </w:r>
          </w:p>
        </w:tc>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57A" w14:textId="77777777" w:rsidR="00C714DD" w:rsidRDefault="00000000">
            <w:r>
              <w:rPr>
                <w:b/>
                <w:bCs/>
                <w:color w:val="FFFFFF"/>
                <w:sz w:val="20"/>
                <w:szCs w:val="20"/>
              </w:rPr>
              <w:t>Households Affected</w:t>
            </w:r>
          </w:p>
        </w:tc>
        <w:tc>
          <w:tcPr>
            <w:tcW w:w="28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1254F57B" w14:textId="77777777" w:rsidR="00C714DD" w:rsidRDefault="00000000">
            <w:r>
              <w:rPr>
                <w:b/>
                <w:bCs/>
                <w:color w:val="FFFFFF"/>
                <w:sz w:val="20"/>
                <w:szCs w:val="20"/>
              </w:rPr>
              <w:t>% of All Households</w:t>
            </w:r>
          </w:p>
        </w:tc>
      </w:tr>
      <w:tr w:rsidR="00C714DD" w14:paraId="1254F5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7D" w14:textId="77777777" w:rsidR="00C714DD" w:rsidRDefault="00000000">
            <w:r>
              <w:rPr>
                <w:color w:val="333333"/>
                <w:sz w:val="20"/>
                <w:szCs w:val="20"/>
              </w:rPr>
              <w:t>0% (no growth)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7E" w14:textId="77777777" w:rsidR="00C714DD" w:rsidRDefault="00000000">
            <w:r>
              <w:rPr>
                <w:color w:val="333333"/>
                <w:sz w:val="20"/>
                <w:szCs w:val="20"/>
              </w:rPr>
              <w:t>33,700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7F" w14:textId="77777777" w:rsidR="00C714DD" w:rsidRDefault="00000000">
            <w:r>
              <w:rPr>
                <w:color w:val="333333"/>
                <w:sz w:val="20"/>
                <w:szCs w:val="20"/>
              </w:rPr>
              <w:t>24.1%</w:t>
            </w:r>
          </w:p>
        </w:tc>
      </w:tr>
      <w:tr w:rsidR="00C714DD" w14:paraId="1254F58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81" w14:textId="77777777" w:rsidR="00C714DD" w:rsidRDefault="00000000">
            <w:r>
              <w:rPr>
                <w:color w:val="333333"/>
                <w:sz w:val="20"/>
                <w:szCs w:val="20"/>
              </w:rPr>
              <w:t>2% (inflation only)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82" w14:textId="77777777" w:rsidR="00C714DD" w:rsidRDefault="00000000">
            <w:r>
              <w:rPr>
                <w:color w:val="333333"/>
                <w:sz w:val="20"/>
                <w:szCs w:val="20"/>
              </w:rPr>
              <w:t>27,600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83" w14:textId="77777777" w:rsidR="00C714DD" w:rsidRDefault="00000000">
            <w:r>
              <w:rPr>
                <w:color w:val="333333"/>
                <w:sz w:val="20"/>
                <w:szCs w:val="20"/>
              </w:rPr>
              <w:t>19.7%</w:t>
            </w:r>
          </w:p>
        </w:tc>
      </w:tr>
      <w:tr w:rsidR="00C714DD" w14:paraId="1254F5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85" w14:textId="77777777" w:rsidR="00C714DD" w:rsidRDefault="00000000">
            <w:r>
              <w:rPr>
                <w:color w:val="333333"/>
                <w:sz w:val="20"/>
                <w:szCs w:val="20"/>
              </w:rPr>
              <w:t>3% (moderate growth)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86" w14:textId="77777777" w:rsidR="00C714DD" w:rsidRDefault="00000000">
            <w:r>
              <w:rPr>
                <w:color w:val="333333"/>
                <w:sz w:val="20"/>
                <w:szCs w:val="20"/>
              </w:rPr>
              <w:t>24,600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4F587" w14:textId="77777777" w:rsidR="00C714DD" w:rsidRDefault="00000000">
            <w:r>
              <w:rPr>
                <w:color w:val="333333"/>
                <w:sz w:val="20"/>
                <w:szCs w:val="20"/>
              </w:rPr>
              <w:t>17.5%</w:t>
            </w:r>
          </w:p>
        </w:tc>
      </w:tr>
      <w:tr w:rsidR="00C714DD" w14:paraId="1254F5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89" w14:textId="77777777" w:rsidR="00C714DD" w:rsidRDefault="00000000">
            <w:r>
              <w:rPr>
                <w:color w:val="333333"/>
                <w:sz w:val="20"/>
                <w:szCs w:val="20"/>
              </w:rPr>
              <w:t>5% (very optimistic)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8A" w14:textId="77777777" w:rsidR="00C714DD" w:rsidRDefault="00000000">
            <w:r>
              <w:rPr>
                <w:color w:val="333333"/>
                <w:sz w:val="20"/>
                <w:szCs w:val="20"/>
              </w:rPr>
              <w:t>19,900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F58B" w14:textId="77777777" w:rsidR="00C714DD" w:rsidRDefault="00000000">
            <w:r>
              <w:rPr>
                <w:color w:val="333333"/>
                <w:sz w:val="20"/>
                <w:szCs w:val="20"/>
              </w:rPr>
              <w:t>14.2%</w:t>
            </w:r>
          </w:p>
        </w:tc>
      </w:tr>
    </w:tbl>
    <w:p w14:paraId="1254F58D" w14:textId="77777777" w:rsidR="00C714DD" w:rsidRDefault="00C714DD">
      <w:pPr>
        <w:spacing w:after="60"/>
      </w:pPr>
    </w:p>
    <w:p w14:paraId="1254F58E" w14:textId="77777777" w:rsidR="00C714DD" w:rsidRDefault="00000000">
      <w:pPr>
        <w:spacing w:after="160" w:line="276" w:lineRule="auto"/>
      </w:pPr>
      <w:r>
        <w:rPr>
          <w:b/>
          <w:bCs/>
          <w:color w:val="333333"/>
        </w:rPr>
        <w:t>Even under the most optimistic income growth scenario (5% per year, which Bakersfield has not historically sustained), approximately 19,900 households (14.2%) would still face unaffordable sewer access. Under a more realistic 3% growth assumption, 24,600 households (17.5%) are affected.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4DD" w14:paraId="1254F590" w14:textId="77777777">
        <w:tblPrEx>
          <w:tblCellMar>
            <w:top w:w="0" w:type="dxa"/>
            <w:bottom w:w="0" w:type="dxa"/>
          </w:tblCellMar>
        </w:tblPrEx>
        <w:tc>
          <w:tcPr>
            <w:tcW w:w="9360" w:type="dxa"/>
            <w:tcBorders>
              <w:top w:val="dashed" w:sz="2" w:space="0" w:color="999999"/>
              <w:left w:val="dashed" w:sz="2" w:space="0" w:color="999999"/>
              <w:bottom w:val="dashed" w:sz="2" w:space="0" w:color="999999"/>
              <w:right w:val="dashed" w:sz="2" w:space="0" w:color="999999"/>
            </w:tcBorders>
            <w:tcMar>
              <w:top w:w="200" w:type="dxa"/>
              <w:left w:w="120" w:type="dxa"/>
              <w:bottom w:w="200" w:type="dxa"/>
              <w:right w:w="120" w:type="dxa"/>
            </w:tcMar>
          </w:tcPr>
          <w:p w14:paraId="1254F58F" w14:textId="77777777" w:rsidR="00C714DD" w:rsidRDefault="00000000">
            <w:pPr>
              <w:jc w:val="center"/>
            </w:pPr>
            <w:r>
              <w:rPr>
                <w:i/>
                <w:iCs/>
                <w:color w:val="999999"/>
              </w:rPr>
              <w:t>[ INSERT FIGURE 7: Income Growth Sensitivity Line Chart HERE ]</w:t>
            </w:r>
          </w:p>
        </w:tc>
      </w:tr>
    </w:tbl>
    <w:p w14:paraId="1254F591" w14:textId="77777777" w:rsidR="00C714DD" w:rsidRDefault="00000000">
      <w:pPr>
        <w:pStyle w:val="Heading1"/>
      </w:pPr>
      <w:r>
        <w:t>What Needs to Happen</w:t>
      </w:r>
    </w:p>
    <w:p w14:paraId="1254F592" w14:textId="77777777" w:rsidR="00C714DD" w:rsidRDefault="00000000">
      <w:pPr>
        <w:spacing w:after="160" w:line="276" w:lineRule="auto"/>
      </w:pPr>
      <w:r>
        <w:rPr>
          <w:color w:val="333333"/>
        </w:rPr>
        <w:t>This analysis supports the need for infrastructure investment. The sewer system must be upgraded. The purpose of this analysis is not to argue against rate increases but to provide the household-level data that the city needs to understand the scale of the affordability challenge and to prepare accordingly.</w:t>
      </w:r>
    </w:p>
    <w:p w14:paraId="1254F593" w14:textId="77777777" w:rsidR="00C714DD" w:rsidRDefault="00000000">
      <w:pPr>
        <w:spacing w:after="160" w:line="276" w:lineRule="auto"/>
      </w:pPr>
      <w:r>
        <w:rPr>
          <w:color w:val="333333"/>
        </w:rPr>
        <w:t>City leadership has already recognized that affordability is a concern. In public meetings, staff acknowledged that while state law requires uniform sewer rates for all ratepayers, the City Council could create assistance programs funded through general tax resources to help households struggling to pay. The city has also moved toward a more gradual rate phase-in after residents pushed back against the original proposal. These are positive steps.</w:t>
      </w:r>
    </w:p>
    <w:p w14:paraId="1254F594" w14:textId="77777777" w:rsidR="00C714DD" w:rsidRDefault="00000000">
      <w:pPr>
        <w:spacing w:after="160" w:line="276" w:lineRule="auto"/>
      </w:pPr>
      <w:r>
        <w:rPr>
          <w:color w:val="333333"/>
        </w:rPr>
        <w:t xml:space="preserve">What is missing is a clear picture of how many households will be affected and where they are. This analysis provides that picture. Approximately 33,700 households, nearly one in four across the service area, will face sewer charges that exceed federal affordability guidelines by the end </w:t>
      </w:r>
      <w:r>
        <w:rPr>
          <w:color w:val="333333"/>
        </w:rPr>
        <w:lastRenderedPageBreak/>
        <w:t>of the proposed rate schedule. That number gives the city a basis for designing assistance programs that are appropriately sized and targeted.</w:t>
      </w:r>
    </w:p>
    <w:p w14:paraId="1254F595" w14:textId="77777777" w:rsidR="00C714DD" w:rsidRDefault="00000000">
      <w:pPr>
        <w:pStyle w:val="Heading2"/>
      </w:pPr>
      <w:r>
        <w:t>Options the City Can Consider</w:t>
      </w:r>
    </w:p>
    <w:p w14:paraId="1254F596" w14:textId="77777777" w:rsidR="00C714DD" w:rsidRDefault="00000000">
      <w:pPr>
        <w:spacing w:after="160" w:line="276" w:lineRule="auto"/>
      </w:pPr>
      <w:r>
        <w:rPr>
          <w:color w:val="333333"/>
        </w:rPr>
        <w:t>Other California utilities have implemented programs that protect vulnerable customers without undermining the utility’s financial sustainability. The Water Environment Federation’s research shows that customer assistance programs typically affect only 1.0% to 1.5% of total gross revenue, while reducing delinquent accounts and administrative collection costs. Common approaches include:</w:t>
      </w:r>
    </w:p>
    <w:p w14:paraId="1254F597" w14:textId="77777777" w:rsidR="00C714DD" w:rsidRDefault="00000000">
      <w:pPr>
        <w:pStyle w:val="ListParagraph"/>
        <w:numPr>
          <w:ilvl w:val="0"/>
          <w:numId w:val="2"/>
        </w:numPr>
        <w:spacing w:after="80" w:line="276" w:lineRule="auto"/>
      </w:pPr>
      <w:r>
        <w:rPr>
          <w:b/>
          <w:bCs/>
          <w:color w:val="333333"/>
        </w:rPr>
        <w:t xml:space="preserve">Bill discounts for low-income customers. </w:t>
      </w:r>
      <w:r>
        <w:rPr>
          <w:color w:val="333333"/>
        </w:rPr>
        <w:t>Many water and sewer utilities offer reduced rates for customers who qualify based on income, similar to programs offered by energy utilities.</w:t>
      </w:r>
    </w:p>
    <w:p w14:paraId="1254F598" w14:textId="77777777" w:rsidR="00C714DD" w:rsidRDefault="00000000">
      <w:pPr>
        <w:pStyle w:val="ListParagraph"/>
        <w:numPr>
          <w:ilvl w:val="0"/>
          <w:numId w:val="2"/>
        </w:numPr>
        <w:spacing w:after="80" w:line="276" w:lineRule="auto"/>
      </w:pPr>
      <w:r>
        <w:rPr>
          <w:b/>
          <w:bCs/>
          <w:color w:val="333333"/>
        </w:rPr>
        <w:t xml:space="preserve">Phased rate structures. </w:t>
      </w:r>
      <w:r>
        <w:rPr>
          <w:color w:val="333333"/>
        </w:rPr>
        <w:t>Spreading increases more gradually or tying increases to income benchmarks rather than using a fixed dollar schedule.</w:t>
      </w:r>
    </w:p>
    <w:p w14:paraId="1254F599" w14:textId="77777777" w:rsidR="00C714DD" w:rsidRDefault="00000000">
      <w:pPr>
        <w:pStyle w:val="ListParagraph"/>
        <w:numPr>
          <w:ilvl w:val="0"/>
          <w:numId w:val="2"/>
        </w:numPr>
        <w:spacing w:after="80" w:line="276" w:lineRule="auto"/>
      </w:pPr>
      <w:r>
        <w:rPr>
          <w:b/>
          <w:bCs/>
          <w:color w:val="333333"/>
        </w:rPr>
        <w:t xml:space="preserve">Connection to existing programs. </w:t>
      </w:r>
      <w:r>
        <w:rPr>
          <w:color w:val="333333"/>
        </w:rPr>
        <w:t>Linking sewer assistance eligibility to existing programs like LIHEAP (energy assistance) or CalFresh reduces administrative burden.</w:t>
      </w:r>
    </w:p>
    <w:p w14:paraId="1254F59A" w14:textId="77777777" w:rsidR="00C714DD" w:rsidRDefault="00000000">
      <w:pPr>
        <w:pStyle w:val="ListParagraph"/>
        <w:numPr>
          <w:ilvl w:val="0"/>
          <w:numId w:val="2"/>
        </w:numPr>
        <w:spacing w:after="80" w:line="276" w:lineRule="auto"/>
      </w:pPr>
      <w:r>
        <w:rPr>
          <w:b/>
          <w:bCs/>
          <w:color w:val="333333"/>
        </w:rPr>
        <w:t xml:space="preserve">Affordability analysis as standard practice. </w:t>
      </w:r>
      <w:r>
        <w:rPr>
          <w:color w:val="333333"/>
        </w:rPr>
        <w:t>An income-based affordability assessment should be part of any rate-setting process, not an afterthought.</w:t>
      </w:r>
    </w:p>
    <w:p w14:paraId="1254F59B" w14:textId="77777777" w:rsidR="00C714DD" w:rsidRDefault="00C714DD">
      <w:pPr>
        <w:spacing w:after="100"/>
      </w:pPr>
    </w:p>
    <w:p w14:paraId="1254F59C" w14:textId="77777777" w:rsidR="00C714DD" w:rsidRDefault="00000000">
      <w:pPr>
        <w:spacing w:after="160" w:line="276" w:lineRule="auto"/>
      </w:pPr>
      <w:r>
        <w:rPr>
          <w:color w:val="333333"/>
        </w:rPr>
        <w:t>The city has the data and the tools to implement these protections. Investing in infrastructure and investing in community protections are not competing priorities. Doing both ensures that the sewer system upgrade succeeds financially and that the households it serves can afford to stay connected.</w:t>
      </w:r>
    </w:p>
    <w:p w14:paraId="1254F59D" w14:textId="77777777" w:rsidR="00C714DD" w:rsidRDefault="00C714DD">
      <w:pPr>
        <w:spacing w:after="200"/>
      </w:pPr>
    </w:p>
    <w:p w14:paraId="1254F59E" w14:textId="77777777" w:rsidR="00C714DD" w:rsidRDefault="00000000">
      <w:pPr>
        <w:pStyle w:val="Heading2"/>
      </w:pPr>
      <w:r>
        <w:t>Data and Methods</w:t>
      </w:r>
    </w:p>
    <w:p w14:paraId="1254F59F" w14:textId="77777777" w:rsidR="00C714DD" w:rsidRDefault="00000000">
      <w:pPr>
        <w:spacing w:after="160" w:line="276" w:lineRule="auto"/>
      </w:pPr>
      <w:r>
        <w:rPr>
          <w:b/>
          <w:bCs/>
          <w:color w:val="333333"/>
        </w:rPr>
        <w:t xml:space="preserve">Service area: </w:t>
      </w:r>
      <w:r>
        <w:rPr>
          <w:color w:val="333333"/>
        </w:rPr>
        <w:t>City of Bakersfield Sewer Service Area boundary (shapefile). 133 census tracts covering an estimated 140,089 households.</w:t>
      </w:r>
    </w:p>
    <w:p w14:paraId="1254F5A0" w14:textId="77777777" w:rsidR="00C714DD" w:rsidRDefault="00000000">
      <w:pPr>
        <w:spacing w:after="160" w:line="276" w:lineRule="auto"/>
      </w:pPr>
      <w:r>
        <w:rPr>
          <w:b/>
          <w:bCs/>
          <w:color w:val="333333"/>
        </w:rPr>
        <w:t xml:space="preserve">Income data: </w:t>
      </w:r>
      <w:r>
        <w:rPr>
          <w:color w:val="333333"/>
        </w:rPr>
        <w:t>U.S. Census Bureau, American Community Survey 2019-2023 5-Year Estimates. Table B19001 (household income brackets) and Table B19013 (median household income), at the census tract level.</w:t>
      </w:r>
    </w:p>
    <w:p w14:paraId="1254F5A1" w14:textId="77777777" w:rsidR="00C714DD" w:rsidRDefault="00000000">
      <w:pPr>
        <w:spacing w:after="160" w:line="276" w:lineRule="auto"/>
      </w:pPr>
      <w:r>
        <w:rPr>
          <w:b/>
          <w:bCs/>
          <w:color w:val="333333"/>
        </w:rPr>
        <w:t xml:space="preserve">Affordability threshold: </w:t>
      </w:r>
      <w:r>
        <w:rPr>
          <w:color w:val="333333"/>
        </w:rPr>
        <w:t>2.5% of annual household income, following U.S. EPA guidance for wastewater affordability.</w:t>
      </w:r>
    </w:p>
    <w:p w14:paraId="1254F5A2" w14:textId="77777777" w:rsidR="00C714DD" w:rsidRDefault="00000000">
      <w:pPr>
        <w:spacing w:after="160" w:line="276" w:lineRule="auto"/>
      </w:pPr>
      <w:r>
        <w:rPr>
          <w:b/>
          <w:bCs/>
          <w:color w:val="333333"/>
        </w:rPr>
        <w:t xml:space="preserve">Methods: </w:t>
      </w:r>
      <w:r>
        <w:rPr>
          <w:color w:val="333333"/>
        </w:rPr>
        <w:t>MHI-based method compares the sewer rate to 2.5% of each tract’s median household income. Income bracket-based method uses linear interpolation within ACS income brackets to count households below the affordability threshold (Maxcy-Brown et al., 2024, ASCE Journal of Water Resources Planning and Management).</w:t>
      </w:r>
    </w:p>
    <w:p w14:paraId="1254F5A3" w14:textId="77777777" w:rsidR="00C714DD" w:rsidRDefault="00000000">
      <w:pPr>
        <w:spacing w:after="160" w:line="276" w:lineRule="auto"/>
      </w:pPr>
      <w:r>
        <w:rPr>
          <w:b/>
          <w:bCs/>
          <w:color w:val="333333"/>
        </w:rPr>
        <w:t xml:space="preserve">Rate data: </w:t>
      </w:r>
      <w:r>
        <w:rPr>
          <w:color w:val="333333"/>
        </w:rPr>
        <w:t>City of Bakersfield 2026-2030 Sewer Rates and Fees Report; Proposition 218 notice (February 2026).</w:t>
      </w:r>
    </w:p>
    <w:p w14:paraId="1254F5A4" w14:textId="77777777" w:rsidR="00C714DD" w:rsidRDefault="00000000">
      <w:pPr>
        <w:spacing w:after="160" w:line="276" w:lineRule="auto"/>
      </w:pPr>
      <w:r>
        <w:rPr>
          <w:b/>
          <w:bCs/>
          <w:color w:val="333333"/>
        </w:rPr>
        <w:lastRenderedPageBreak/>
        <w:t xml:space="preserve">Analysis code: </w:t>
      </w:r>
      <w:r>
        <w:rPr>
          <w:color w:val="333333"/>
        </w:rPr>
        <w:t>Available at github.com/laljeet/bakersfield-sewer-affordability</w:t>
      </w:r>
    </w:p>
    <w:sectPr w:rsidR="00C714D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773E9" w14:textId="77777777" w:rsidR="00F57338" w:rsidRDefault="00F57338">
      <w:r>
        <w:separator/>
      </w:r>
    </w:p>
  </w:endnote>
  <w:endnote w:type="continuationSeparator" w:id="0">
    <w:p w14:paraId="66478A80" w14:textId="77777777" w:rsidR="00F57338" w:rsidRDefault="00F57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F5A6" w14:textId="44DFE370" w:rsidR="00C714DD" w:rsidRDefault="00000000">
    <w:pPr>
      <w:pBdr>
        <w:top w:val="single" w:sz="4" w:space="1" w:color="CCCCCC"/>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9C1BEF">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339DE" w14:textId="77777777" w:rsidR="00F57338" w:rsidRDefault="00F57338">
      <w:r>
        <w:separator/>
      </w:r>
    </w:p>
  </w:footnote>
  <w:footnote w:type="continuationSeparator" w:id="0">
    <w:p w14:paraId="3638B3C1" w14:textId="77777777" w:rsidR="00F57338" w:rsidRDefault="00F57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F5A5" w14:textId="77777777" w:rsidR="00C714DD" w:rsidRDefault="00000000">
    <w:pPr>
      <w:pBdr>
        <w:bottom w:val="single" w:sz="6" w:space="1" w:color="003DA5"/>
      </w:pBdr>
      <w:spacing w:after="200"/>
    </w:pPr>
    <w:r>
      <w:rPr>
        <w:color w:val="666666"/>
        <w:sz w:val="18"/>
        <w:szCs w:val="18"/>
      </w:rPr>
      <w:t>University of California Cooperative Extension  |  Kern County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C1AF8"/>
    <w:multiLevelType w:val="hybridMultilevel"/>
    <w:tmpl w:val="C73E4B90"/>
    <w:lvl w:ilvl="0" w:tplc="2098C8D2">
      <w:start w:val="1"/>
      <w:numFmt w:val="bullet"/>
      <w:lvlText w:val="●"/>
      <w:lvlJc w:val="left"/>
      <w:pPr>
        <w:ind w:left="720" w:hanging="360"/>
      </w:pPr>
    </w:lvl>
    <w:lvl w:ilvl="1" w:tplc="AB3E11B6">
      <w:start w:val="1"/>
      <w:numFmt w:val="bullet"/>
      <w:lvlText w:val="○"/>
      <w:lvlJc w:val="left"/>
      <w:pPr>
        <w:ind w:left="1440" w:hanging="360"/>
      </w:pPr>
    </w:lvl>
    <w:lvl w:ilvl="2" w:tplc="BD4228E8">
      <w:start w:val="1"/>
      <w:numFmt w:val="bullet"/>
      <w:lvlText w:val="■"/>
      <w:lvlJc w:val="left"/>
      <w:pPr>
        <w:ind w:left="2160" w:hanging="360"/>
      </w:pPr>
    </w:lvl>
    <w:lvl w:ilvl="3" w:tplc="DA2697C2">
      <w:start w:val="1"/>
      <w:numFmt w:val="bullet"/>
      <w:lvlText w:val="●"/>
      <w:lvlJc w:val="left"/>
      <w:pPr>
        <w:ind w:left="2880" w:hanging="360"/>
      </w:pPr>
    </w:lvl>
    <w:lvl w:ilvl="4" w:tplc="594E72B8">
      <w:start w:val="1"/>
      <w:numFmt w:val="bullet"/>
      <w:lvlText w:val="○"/>
      <w:lvlJc w:val="left"/>
      <w:pPr>
        <w:ind w:left="3600" w:hanging="360"/>
      </w:pPr>
    </w:lvl>
    <w:lvl w:ilvl="5" w:tplc="8EF4D1BE">
      <w:start w:val="1"/>
      <w:numFmt w:val="bullet"/>
      <w:lvlText w:val="■"/>
      <w:lvlJc w:val="left"/>
      <w:pPr>
        <w:ind w:left="4320" w:hanging="360"/>
      </w:pPr>
    </w:lvl>
    <w:lvl w:ilvl="6" w:tplc="F6F26CC2">
      <w:start w:val="1"/>
      <w:numFmt w:val="bullet"/>
      <w:lvlText w:val="●"/>
      <w:lvlJc w:val="left"/>
      <w:pPr>
        <w:ind w:left="5040" w:hanging="360"/>
      </w:pPr>
    </w:lvl>
    <w:lvl w:ilvl="7" w:tplc="B066BDF4">
      <w:start w:val="1"/>
      <w:numFmt w:val="bullet"/>
      <w:lvlText w:val="●"/>
      <w:lvlJc w:val="left"/>
      <w:pPr>
        <w:ind w:left="5760" w:hanging="360"/>
      </w:pPr>
    </w:lvl>
    <w:lvl w:ilvl="8" w:tplc="E1783E88">
      <w:start w:val="1"/>
      <w:numFmt w:val="bullet"/>
      <w:lvlText w:val="●"/>
      <w:lvlJc w:val="left"/>
      <w:pPr>
        <w:ind w:left="6480" w:hanging="360"/>
      </w:pPr>
    </w:lvl>
  </w:abstractNum>
  <w:abstractNum w:abstractNumId="1" w15:restartNumberingAfterBreak="0">
    <w:nsid w:val="60B95481"/>
    <w:multiLevelType w:val="hybridMultilevel"/>
    <w:tmpl w:val="323215C6"/>
    <w:lvl w:ilvl="0" w:tplc="B2305CBE">
      <w:start w:val="1"/>
      <w:numFmt w:val="decimal"/>
      <w:lvlText w:val="%1."/>
      <w:lvlJc w:val="left"/>
      <w:pPr>
        <w:ind w:left="720" w:hanging="360"/>
      </w:pPr>
    </w:lvl>
    <w:lvl w:ilvl="1" w:tplc="465800EC">
      <w:numFmt w:val="decimal"/>
      <w:lvlText w:val=""/>
      <w:lvlJc w:val="left"/>
    </w:lvl>
    <w:lvl w:ilvl="2" w:tplc="D8B4075A">
      <w:numFmt w:val="decimal"/>
      <w:lvlText w:val=""/>
      <w:lvlJc w:val="left"/>
    </w:lvl>
    <w:lvl w:ilvl="3" w:tplc="423A0548">
      <w:numFmt w:val="decimal"/>
      <w:lvlText w:val=""/>
      <w:lvlJc w:val="left"/>
    </w:lvl>
    <w:lvl w:ilvl="4" w:tplc="1728D1FE">
      <w:numFmt w:val="decimal"/>
      <w:lvlText w:val=""/>
      <w:lvlJc w:val="left"/>
    </w:lvl>
    <w:lvl w:ilvl="5" w:tplc="8AD230C4">
      <w:numFmt w:val="decimal"/>
      <w:lvlText w:val=""/>
      <w:lvlJc w:val="left"/>
    </w:lvl>
    <w:lvl w:ilvl="6" w:tplc="49F233FC">
      <w:numFmt w:val="decimal"/>
      <w:lvlText w:val=""/>
      <w:lvlJc w:val="left"/>
    </w:lvl>
    <w:lvl w:ilvl="7" w:tplc="C9A2CC92">
      <w:numFmt w:val="decimal"/>
      <w:lvlText w:val=""/>
      <w:lvlJc w:val="left"/>
    </w:lvl>
    <w:lvl w:ilvl="8" w:tplc="AAE46ADE">
      <w:numFmt w:val="decimal"/>
      <w:lvlText w:val=""/>
      <w:lvlJc w:val="left"/>
    </w:lvl>
  </w:abstractNum>
  <w:abstractNum w:abstractNumId="2" w15:restartNumberingAfterBreak="0">
    <w:nsid w:val="7C4409D1"/>
    <w:multiLevelType w:val="hybridMultilevel"/>
    <w:tmpl w:val="80DC0C82"/>
    <w:lvl w:ilvl="0" w:tplc="1186ADF2">
      <w:start w:val="1"/>
      <w:numFmt w:val="bullet"/>
      <w:lvlText w:val="•"/>
      <w:lvlJc w:val="left"/>
      <w:pPr>
        <w:ind w:left="720" w:hanging="360"/>
      </w:pPr>
    </w:lvl>
    <w:lvl w:ilvl="1" w:tplc="A266D5EE">
      <w:numFmt w:val="decimal"/>
      <w:lvlText w:val=""/>
      <w:lvlJc w:val="left"/>
    </w:lvl>
    <w:lvl w:ilvl="2" w:tplc="9EF6EDBA">
      <w:numFmt w:val="decimal"/>
      <w:lvlText w:val=""/>
      <w:lvlJc w:val="left"/>
    </w:lvl>
    <w:lvl w:ilvl="3" w:tplc="B2E81F44">
      <w:numFmt w:val="decimal"/>
      <w:lvlText w:val=""/>
      <w:lvlJc w:val="left"/>
    </w:lvl>
    <w:lvl w:ilvl="4" w:tplc="E564CA62">
      <w:numFmt w:val="decimal"/>
      <w:lvlText w:val=""/>
      <w:lvlJc w:val="left"/>
    </w:lvl>
    <w:lvl w:ilvl="5" w:tplc="94D88F26">
      <w:numFmt w:val="decimal"/>
      <w:lvlText w:val=""/>
      <w:lvlJc w:val="left"/>
    </w:lvl>
    <w:lvl w:ilvl="6" w:tplc="46DE0F90">
      <w:numFmt w:val="decimal"/>
      <w:lvlText w:val=""/>
      <w:lvlJc w:val="left"/>
    </w:lvl>
    <w:lvl w:ilvl="7" w:tplc="60BC8B2A">
      <w:numFmt w:val="decimal"/>
      <w:lvlText w:val=""/>
      <w:lvlJc w:val="left"/>
    </w:lvl>
    <w:lvl w:ilvl="8" w:tplc="39FAB044">
      <w:numFmt w:val="decimal"/>
      <w:lvlText w:val=""/>
      <w:lvlJc w:val="left"/>
    </w:lvl>
  </w:abstractNum>
  <w:num w:numId="1" w16cid:durableId="676346078">
    <w:abstractNumId w:val="0"/>
    <w:lvlOverride w:ilvl="0">
      <w:startOverride w:val="1"/>
    </w:lvlOverride>
  </w:num>
  <w:num w:numId="2" w16cid:durableId="6798151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4DD"/>
    <w:rsid w:val="00407743"/>
    <w:rsid w:val="009C1BEF"/>
    <w:rsid w:val="00C714DD"/>
    <w:rsid w:val="00F57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54F4B8"/>
  <w15:docId w15:val="{1898FBC2-5307-3D43-829D-C21E7D99F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3DA5"/>
      <w:sz w:val="32"/>
      <w:szCs w:val="32"/>
    </w:rPr>
  </w:style>
  <w:style w:type="paragraph" w:styleId="Heading2">
    <w:name w:val="heading 2"/>
    <w:uiPriority w:val="9"/>
    <w:unhideWhenUsed/>
    <w:qFormat/>
    <w:pPr>
      <w:spacing w:before="240" w:after="160"/>
      <w:outlineLvl w:val="1"/>
    </w:pPr>
    <w:rPr>
      <w:b/>
      <w:bCs/>
      <w:color w:val="003DA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1909</Words>
  <Characters>10719</Characters>
  <Application>Microsoft Office Word</Application>
  <DocSecurity>0</DocSecurity>
  <Lines>291</Lines>
  <Paragraphs>185</Paragraphs>
  <ScaleCrop>false</ScaleCrop>
  <Company/>
  <LinksUpToDate>false</LinksUpToDate>
  <CharactersWithSpaces>12451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Laljeet Singh Sangha</cp:lastModifiedBy>
  <cp:revision>2</cp:revision>
  <dcterms:created xsi:type="dcterms:W3CDTF">2026-03-24T00:25:00Z</dcterms:created>
  <dcterms:modified xsi:type="dcterms:W3CDTF">2026-03-24T00:25:00Z</dcterms:modified>
</cp:coreProperties>
</file>