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5001" w14:textId="77777777" w:rsidR="006349FF" w:rsidRDefault="006349FF"/>
    <w:p w14:paraId="0FD26427" w14:textId="77777777" w:rsidR="008B0D41" w:rsidRDefault="008B0D41" w:rsidP="008B0D41">
      <w:pPr>
        <w:keepNext/>
      </w:pPr>
      <w:r>
        <w:rPr>
          <w:noProof/>
        </w:rPr>
        <w:drawing>
          <wp:inline distT="0" distB="0" distL="0" distR="0" wp14:anchorId="54BED24C" wp14:editId="3F277F29">
            <wp:extent cx="5943600" cy="3343275"/>
            <wp:effectExtent l="0" t="0" r="0" b="0"/>
            <wp:docPr id="8865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7833" name="Picture 886507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F9C" w14:textId="4AE46C3D" w:rsidR="004946A4" w:rsidRDefault="008B0D41" w:rsidP="008B0D41">
      <w:pPr>
        <w:pStyle w:val="Caption"/>
      </w:pPr>
      <w:r>
        <w:t xml:space="preserve">Figure </w:t>
      </w:r>
      <w:fldSimple w:instr=" SEQ Figure \* ARABIC ">
        <w:r w:rsidR="004C1BA5">
          <w:rPr>
            <w:noProof/>
          </w:rPr>
          <w:t>1</w:t>
        </w:r>
      </w:fldSimple>
      <w:r>
        <w:t xml:space="preserve"> C</w:t>
      </w:r>
      <w:r w:rsidRPr="00CA5461">
        <w:t>ase-flow pipeline of the Kern Subbasin dry-well mitigation program</w:t>
      </w:r>
    </w:p>
    <w:p w14:paraId="13C5C5BA" w14:textId="77777777" w:rsidR="004946A4" w:rsidRDefault="004946A4"/>
    <w:p w14:paraId="39100FDD" w14:textId="77777777" w:rsidR="00520693" w:rsidRDefault="00520693"/>
    <w:p w14:paraId="4E717053" w14:textId="77777777" w:rsidR="00CF5FE6" w:rsidRDefault="00520693" w:rsidP="00CF5FE6">
      <w:pPr>
        <w:keepNext/>
      </w:pPr>
      <w:r>
        <w:rPr>
          <w:noProof/>
        </w:rPr>
        <w:drawing>
          <wp:inline distT="0" distB="0" distL="0" distR="0" wp14:anchorId="461228DA" wp14:editId="3B9210E3">
            <wp:extent cx="5943600" cy="2639060"/>
            <wp:effectExtent l="0" t="0" r="0" b="2540"/>
            <wp:docPr id="359883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83271" name="Picture 3598832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23F" w14:textId="4F1F93D9" w:rsidR="00520693" w:rsidRDefault="00CF5FE6" w:rsidP="00CF5FE6">
      <w:pPr>
        <w:pStyle w:val="Caption"/>
      </w:pPr>
      <w:r>
        <w:t xml:space="preserve">Figure </w:t>
      </w:r>
      <w:fldSimple w:instr=" SEQ Figure \* ARABIC ">
        <w:r w:rsidR="004C1BA5">
          <w:rPr>
            <w:noProof/>
          </w:rPr>
          <w:t>2</w:t>
        </w:r>
      </w:fldSimple>
      <w:r>
        <w:t xml:space="preserve"> </w:t>
      </w:r>
      <w:r w:rsidRPr="001862FD">
        <w:t>Program performance across the spread caseload sweep. (A) Mean case resolution time by annual caseload, with 10th-to-90th-percentile band. (B) Resolution-time target attainment within 180 and 365 days. (C) Dry-well budget exceedance probability.</w:t>
      </w:r>
    </w:p>
    <w:p w14:paraId="1EBAE9E6" w14:textId="77777777" w:rsidR="00520693" w:rsidRDefault="00520693"/>
    <w:p w14:paraId="76439BEE" w14:textId="77777777" w:rsidR="00520693" w:rsidRDefault="00520693"/>
    <w:p w14:paraId="1E37C4A5" w14:textId="77777777" w:rsidR="00520693" w:rsidRDefault="00520693"/>
    <w:p w14:paraId="2ADE4F53" w14:textId="77777777" w:rsidR="00520693" w:rsidRDefault="00520693"/>
    <w:p w14:paraId="253AB039" w14:textId="77777777" w:rsidR="00CF5FE6" w:rsidRDefault="004946A4" w:rsidP="00CF5FE6">
      <w:pPr>
        <w:keepNext/>
      </w:pPr>
      <w:r>
        <w:rPr>
          <w:noProof/>
        </w:rPr>
        <w:drawing>
          <wp:inline distT="0" distB="0" distL="0" distR="0" wp14:anchorId="38D809D4" wp14:editId="7893469B">
            <wp:extent cx="5934075" cy="2800350"/>
            <wp:effectExtent l="0" t="0" r="9525" b="0"/>
            <wp:docPr id="1428139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CBCB" w14:textId="0021262D" w:rsidR="002D7F7B" w:rsidRDefault="00CF5FE6" w:rsidP="00CF5FE6">
      <w:pPr>
        <w:pStyle w:val="Caption"/>
      </w:pPr>
      <w:r>
        <w:t xml:space="preserve">Figure </w:t>
      </w:r>
      <w:fldSimple w:instr=" SEQ Figure \* ARABIC ">
        <w:r w:rsidR="004C1BA5">
          <w:rPr>
            <w:noProof/>
          </w:rPr>
          <w:t>3</w:t>
        </w:r>
      </w:fldSimple>
      <w:r>
        <w:t xml:space="preserve"> </w:t>
      </w:r>
      <w:proofErr w:type="gramStart"/>
      <w:r w:rsidRPr="003217B6">
        <w:t>Multi-year</w:t>
      </w:r>
      <w:proofErr w:type="gramEnd"/>
      <w:r w:rsidRPr="003217B6">
        <w:t xml:space="preserve"> compounding across five model years. (A) Mean resolution time by year. (B) Pending cases at year end, against the 15-case threshold.</w:t>
      </w:r>
    </w:p>
    <w:p w14:paraId="05506FC4" w14:textId="77777777" w:rsidR="004946A4" w:rsidRDefault="004946A4"/>
    <w:p w14:paraId="748361F4" w14:textId="6885D4D1" w:rsidR="009C5BFB" w:rsidRDefault="00604E3B" w:rsidP="009C5BFB">
      <w:pPr>
        <w:keepNext/>
      </w:pPr>
      <w:r>
        <w:rPr>
          <w:noProof/>
        </w:rPr>
        <w:drawing>
          <wp:inline distT="0" distB="0" distL="0" distR="0" wp14:anchorId="7142462A" wp14:editId="20AA92B0">
            <wp:extent cx="5943600" cy="2799715"/>
            <wp:effectExtent l="0" t="0" r="0" b="0"/>
            <wp:docPr id="999231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31981" name="Picture 999231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4715" w14:textId="388678A9" w:rsidR="004946A4" w:rsidRDefault="009C5BFB" w:rsidP="009C5BFB">
      <w:pPr>
        <w:pStyle w:val="Caption"/>
      </w:pPr>
      <w:r>
        <w:t xml:space="preserve">Figure </w:t>
      </w:r>
      <w:fldSimple w:instr=" SEQ Figure \* ARABIC ">
        <w:r w:rsidR="004C1BA5">
          <w:rPr>
            <w:noProof/>
          </w:rPr>
          <w:t>4</w:t>
        </w:r>
      </w:fldSimple>
      <w:r>
        <w:t xml:space="preserve"> </w:t>
      </w:r>
      <w:r w:rsidRPr="00904336">
        <w:t>Contractor queue sensitivity at a caseload of 15. (A) Mean resolution time by slot count under spread and clustered arrivals. (B) Within-180-day attainment by slot count.</w:t>
      </w:r>
      <w:r w:rsidR="00755F3F">
        <w:t xml:space="preserve"> (C</w:t>
      </w:r>
      <w:r w:rsidR="00755F3F" w:rsidRPr="008C6958">
        <w:t>) Maximum interim supply duration by scenario, on a log scale.</w:t>
      </w:r>
    </w:p>
    <w:p w14:paraId="25568E05" w14:textId="15F5E1A7" w:rsidR="004C1BA5" w:rsidRDefault="00604E3B" w:rsidP="004C1BA5">
      <w:pPr>
        <w:keepNext/>
      </w:pPr>
      <w:r>
        <w:rPr>
          <w:noProof/>
        </w:rPr>
        <w:lastRenderedPageBreak/>
        <w:drawing>
          <wp:inline distT="0" distB="0" distL="0" distR="0" wp14:anchorId="14DE7799" wp14:editId="1F371EF0">
            <wp:extent cx="5943600" cy="3465195"/>
            <wp:effectExtent l="0" t="0" r="0" b="1905"/>
            <wp:docPr id="1282713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13399" name="Picture 12827133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A0EE" w14:textId="0C5E8D14" w:rsidR="004946A4" w:rsidRDefault="004C1BA5" w:rsidP="004C1BA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r w:rsidRPr="008C6958">
        <w:t xml:space="preserve">Arrival timing and the household experience. (A) Mean resolution time, spread versus clustered arrivals at matched caseloads. </w:t>
      </w:r>
    </w:p>
    <w:sectPr w:rsidR="00494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6E7D" w14:textId="77777777" w:rsidR="00B22CA0" w:rsidRDefault="00B22CA0" w:rsidP="006349FF">
      <w:pPr>
        <w:spacing w:after="0" w:line="240" w:lineRule="auto"/>
      </w:pPr>
      <w:r>
        <w:separator/>
      </w:r>
    </w:p>
  </w:endnote>
  <w:endnote w:type="continuationSeparator" w:id="0">
    <w:p w14:paraId="0A24B31B" w14:textId="77777777" w:rsidR="00B22CA0" w:rsidRDefault="00B22CA0" w:rsidP="00634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C1CA6" w14:textId="77777777" w:rsidR="00B22CA0" w:rsidRDefault="00B22CA0" w:rsidP="006349FF">
      <w:pPr>
        <w:spacing w:after="0" w:line="240" w:lineRule="auto"/>
      </w:pPr>
      <w:r>
        <w:separator/>
      </w:r>
    </w:p>
  </w:footnote>
  <w:footnote w:type="continuationSeparator" w:id="0">
    <w:p w14:paraId="7FC10C38" w14:textId="77777777" w:rsidR="00B22CA0" w:rsidRDefault="00B22CA0" w:rsidP="00634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A4"/>
    <w:rsid w:val="002D7F7B"/>
    <w:rsid w:val="00334BB3"/>
    <w:rsid w:val="004946A4"/>
    <w:rsid w:val="004C1BA5"/>
    <w:rsid w:val="00520693"/>
    <w:rsid w:val="00604E3B"/>
    <w:rsid w:val="006349FF"/>
    <w:rsid w:val="0065388B"/>
    <w:rsid w:val="006C2B9F"/>
    <w:rsid w:val="00755F3F"/>
    <w:rsid w:val="008B0D41"/>
    <w:rsid w:val="009C5BFB"/>
    <w:rsid w:val="009E7412"/>
    <w:rsid w:val="00A91952"/>
    <w:rsid w:val="00B22CA0"/>
    <w:rsid w:val="00B31634"/>
    <w:rsid w:val="00CF5FE6"/>
    <w:rsid w:val="00D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4CF6"/>
  <w15:chartTrackingRefBased/>
  <w15:docId w15:val="{C94A4931-1BC9-41FE-8F51-A002D42E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9FF"/>
  </w:style>
  <w:style w:type="paragraph" w:styleId="Footer">
    <w:name w:val="footer"/>
    <w:basedOn w:val="Normal"/>
    <w:link w:val="FooterChar"/>
    <w:uiPriority w:val="99"/>
    <w:unhideWhenUsed/>
    <w:rsid w:val="00634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9FF"/>
  </w:style>
  <w:style w:type="paragraph" w:styleId="Caption">
    <w:name w:val="caption"/>
    <w:basedOn w:val="Normal"/>
    <w:next w:val="Normal"/>
    <w:uiPriority w:val="35"/>
    <w:unhideWhenUsed/>
    <w:qFormat/>
    <w:rsid w:val="008B0D4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tiff"/><Relationship Id="rId4" Type="http://schemas.openxmlformats.org/officeDocument/2006/relationships/footnotes" Target="footnotes.xml"/><Relationship Id="rId9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Laljeet Singh Sangha</dc:creator>
  <cp:keywords/>
  <dc:description/>
  <cp:lastModifiedBy>Laljeet Singh Sangha</cp:lastModifiedBy>
  <cp:revision>10</cp:revision>
  <dcterms:created xsi:type="dcterms:W3CDTF">2026-06-08T23:03:00Z</dcterms:created>
  <dcterms:modified xsi:type="dcterms:W3CDTF">2026-06-09T22:10:00Z</dcterms:modified>
</cp:coreProperties>
</file>