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b/>
          <w:bCs/>
          <w:color w:val="1A5276"/>
          <w:sz w:val="52"/>
          <w:szCs w:val="52"/>
        </w:rPr>
        <w:t xml:space="preserve">AI-Powered Customer Success Platform</w:t>
      </w:r>
    </w:p>
    <w:p>
      <w:pPr>
        <w:spacing w:after="80"/>
        <w:jc w:val="center"/>
      </w:pPr>
      <w:r>
        <w:rPr>
          <w:rFonts w:ascii="Arial" w:cs="Arial" w:eastAsia="Arial" w:hAnsi="Arial"/>
          <w:b/>
          <w:bCs/>
          <w:color w:val="2E86C1"/>
          <w:sz w:val="38"/>
          <w:szCs w:val="38"/>
        </w:rPr>
        <w:t xml:space="preserve">Tiered Pricing Strategy &amp; Cost Model</w:t>
      </w:r>
    </w:p>
    <w:p>
      <w:pPr>
        <w:pBdr>
          <w:bottom w:val="single" w:color="1A5276" w:sz="6" w:space="1"/>
        </w:pBdr>
        <w:spacing w:after="600"/>
        <w:jc w:val="center"/>
      </w:pPr>
    </w:p>
    <w:p>
      <w:pPr>
        <w:spacing w:after="80"/>
        <w:jc w:val="center"/>
      </w:pPr>
      <w:r>
        <w:rPr>
          <w:rFonts w:ascii="Arial" w:cs="Arial" w:eastAsia="Arial" w:hAnsi="Arial"/>
          <w:color w:val="7F8C8D"/>
          <w:sz w:val="24"/>
          <w:szCs w:val="24"/>
        </w:rPr>
        <w:t xml:space="preserve">5–20 CSM Teams  ·  300 Client Accounts  ·  SMB Market</w:t>
      </w:r>
    </w:p>
    <w:p>
      <w:pPr>
        <w:spacing w:after="60"/>
        <w:jc w:val="center"/>
      </w:pPr>
      <w:r>
        <w:rPr>
          <w:rFonts w:ascii="Arial" w:cs="Arial" w:eastAsia="Arial" w:hAnsi="Arial"/>
          <w:color w:val="95A5A6"/>
          <w:sz w:val="22"/>
          <w:szCs w:val="22"/>
        </w:rPr>
        <w:t xml:space="preserve">Prepared: March 1, 2026  ·  For: Lacey Williams</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report builds on the prior Claude API Cost Analysis to design a realistic, SMB-competitive tiered pricing strategy for an AI-powered Customer Success Management (CSM) platform. The scenario models teams of 5–20 Customer Success Managers collectively managing approximately 300 client accounts.</w:t>
      </w:r>
    </w:p>
    <w:p>
      <w:pPr>
        <w:spacing w:after="120"/>
        <w:jc w:val="left"/>
      </w:pPr>
      <w:r>
        <w:rPr>
          <w:rFonts w:ascii="Arial" w:cs="Arial" w:eastAsia="Arial" w:hAnsi="Arial"/>
          <w:b w:val="false"/>
          <w:bCs w:val="false"/>
          <w:i w:val="false"/>
          <w:iCs w:val="false"/>
          <w:color w:val="333333"/>
          <w:sz w:val="22"/>
          <w:szCs w:val="22"/>
        </w:rPr>
        <w:t xml:space="preserve">The platform leverages Anthropic’s Claude API to automate and augment core CSM workflows: client health scoring, email drafting, meeting prep, QBR (Quarterly Business Review) generation, churn risk analysis, and onboarding playbook creation.</w:t>
      </w:r>
    </w:p>
    <w:p>
      <w:pPr>
        <w:spacing w:after="60"/>
      </w:pPr>
    </w:p>
    <w:p>
      <w:pPr>
        <w:pBdr>
          <w:left w:val="single" w:color="1E8449" w:sz="12" w:space="8"/>
        </w:pBdr>
        <w:spacing w:before="100" w:after="200"/>
        <w:ind w:left="200"/>
      </w:pPr>
      <w:r>
        <w:rPr>
          <w:rFonts w:ascii="Arial" w:cs="Arial" w:eastAsia="Arial" w:hAnsi="Arial"/>
          <w:b/>
          <w:bCs/>
          <w:color w:val="1E8449"/>
          <w:sz w:val="22"/>
          <w:szCs w:val="22"/>
        </w:rPr>
        <w:t xml:space="preserve">Bottom Line: A three-tier pricing model at $39–$119/seat/month positions the platform 40–70% below established competitors like ChurnZero ($12K–$40K/yr) and Gainsight ($26K–$100K+/yr), while maintaining 60–75% gross margins.</w:t>
      </w:r>
    </w:p>
    <w:p>
      <w:pPr>
        <w:pStyle w:val="Heading1"/>
        <w:spacing w:before="360" w:after="200"/>
      </w:pPr>
      <w:r>
        <w:rPr>
          <w:rFonts w:ascii="Arial" w:cs="Arial" w:eastAsia="Arial" w:hAnsi="Arial"/>
        </w:rPr>
        <w:t xml:space="preserve">2. Competitive Landscape — SMB CSM Tools</w:t>
      </w:r>
    </w:p>
    <w:p>
      <w:pPr>
        <w:spacing w:after="120"/>
        <w:jc w:val="left"/>
      </w:pPr>
      <w:r>
        <w:rPr>
          <w:rFonts w:ascii="Arial" w:cs="Arial" w:eastAsia="Arial" w:hAnsi="Arial"/>
          <w:b w:val="false"/>
          <w:bCs w:val="false"/>
          <w:i w:val="false"/>
          <w:iCs w:val="false"/>
          <w:color w:val="333333"/>
          <w:sz w:val="22"/>
          <w:szCs w:val="22"/>
        </w:rPr>
        <w:t xml:space="preserve">Understanding the competitive pricing landscape is critical for positioning. The CSM software market is bifurcated: enterprise players commanding $25K–$150K+/year, and a growing wave of SMB-friendly alternatives in the $25–$150/seat/month range.</w:t>
      </w:r>
    </w:p>
    <w:p>
      <w:pPr>
        <w:spacing w:after="60"/>
      </w:pPr>
    </w:p>
    <w:p>
      <w:pPr>
        <w:pStyle w:val="Heading2"/>
        <w:spacing w:before="280" w:after="160"/>
      </w:pPr>
      <w:r>
        <w:rPr>
          <w:rFonts w:ascii="Arial" w:cs="Arial" w:eastAsia="Arial" w:hAnsi="Arial"/>
        </w:rPr>
        <w:t xml:space="preserve">2.1 Current Market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560"/>
        <w:gridCol w:w="2500"/>
      </w:tblGrid>
      <w:tr>
        <w:tc>
          <w:tcPr>
            <w:tcW w:type="dxa" w:w="2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Platform</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Segment</w:t>
            </w:r>
          </w:p>
        </w:tc>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Entry Price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Mid-Tier</w:t>
            </w:r>
          </w:p>
        </w:tc>
        <w:tc>
          <w:tcPr>
            <w:tcW w:type="dxa" w:w="2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Gainsight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Enterprise</w:t>
            </w:r>
          </w:p>
        </w:tc>
        <w:tc>
          <w:tcPr>
            <w:tcW w:type="dxa" w:w="16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$26K/yr</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$60K–100K+</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Quote-based, 10+ seats min</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ChurnZero</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Mid-Market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$12K/yr</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$30K–40K/yr</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$1,400/yr per user + platform fee</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Totango</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SMB–Ent</w:t>
            </w:r>
          </w:p>
        </w:tc>
        <w:tc>
          <w:tcPr>
            <w:tcW w:type="dxa" w:w="16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$199/mo</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$899/mo</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Free tier (100 clients), scales to enterprise</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Vitally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SMB–Mid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$50/seat/mo</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$100–150/seat</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Popular with startups, per-seat</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Custify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SMB</w:t>
            </w:r>
          </w:p>
        </w:tc>
        <w:tc>
          <w:tcPr>
            <w:tcW w:type="dxa" w:w="16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$25/seat/mo</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$75–100/seat</w:t>
            </w:r>
          </w:p>
        </w:tc>
        <w:tc>
          <w:tcPr>
            <w:tcW w:type="dxa" w:w="2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SMB-focused, tiered by features</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Planhat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Mid-Market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$1K/mo</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$3K–5K/mo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All-in-one, usage-based scaling</w:t>
            </w:r>
          </w:p>
        </w:tc>
      </w:tr>
      <w:tr>
        <w:tc>
          <w:tcPr>
            <w:tcW w:type="dxa" w:w="2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19"/>
                <w:szCs w:val="19"/>
              </w:rPr>
              <w:t xml:space="preserve">Your Platform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SMB</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$39/seat/mo</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$79/seat/mo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E8449"/>
                <w:sz w:val="19"/>
                <w:szCs w:val="19"/>
              </w:rPr>
              <w:t xml:space="preserve">AI-native, Claude-powered, per-seat</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Your platform’s key differentiator is being AI-native from day one. While competitors bolt on AI features to legacy architectures, your platform is built around Claude’s generative capabilities, delivering more automation at a lower price point.</w:t>
      </w:r>
    </w:p>
    <w:p>
      <w:pPr>
        <w:pStyle w:val="Heading2"/>
        <w:spacing w:before="280" w:after="160"/>
      </w:pPr>
      <w:r>
        <w:rPr>
          <w:rFonts w:ascii="Arial" w:cs="Arial" w:eastAsia="Arial" w:hAnsi="Arial"/>
        </w:rPr>
        <w:t xml:space="preserve">2.2 Emerging Pricing Trends</w:t>
      </w:r>
    </w:p>
    <w:p>
      <w:pPr>
        <w:pStyle w:val="ListParagraph"/>
        <w:numPr>
          <w:ilvl w:val="0"/>
          <w:numId w:val="2"/>
        </w:numPr>
        <w:spacing w:after="60"/>
      </w:pPr>
      <w:r>
        <w:rPr>
          <w:rFonts w:ascii="Arial" w:cs="Arial" w:eastAsia="Arial" w:hAnsi="Arial"/>
          <w:color w:val="333333"/>
          <w:sz w:val="22"/>
          <w:szCs w:val="22"/>
        </w:rPr>
        <w:t xml:space="preserve">Hybrid models (seat + usage) are surging: 41% of SaaS companies now use hybrid pricing, up from 27% last year.</w:t>
      </w:r>
    </w:p>
    <w:p>
      <w:pPr>
        <w:pStyle w:val="ListParagraph"/>
        <w:numPr>
          <w:ilvl w:val="0"/>
          <w:numId w:val="2"/>
        </w:numPr>
        <w:spacing w:after="60"/>
      </w:pPr>
      <w:r>
        <w:rPr>
          <w:rFonts w:ascii="Arial" w:cs="Arial" w:eastAsia="Arial" w:hAnsi="Arial"/>
          <w:color w:val="333333"/>
          <w:sz w:val="22"/>
          <w:szCs w:val="22"/>
        </w:rPr>
        <w:t xml:space="preserve">Outcome-based pricing is gaining traction (e.g., Zendesk at $1.50/automated resolution, Intercom’s Fin per conversation).</w:t>
      </w:r>
    </w:p>
    <w:p>
      <w:pPr>
        <w:pStyle w:val="ListParagraph"/>
        <w:numPr>
          <w:ilvl w:val="0"/>
          <w:numId w:val="2"/>
        </w:numPr>
        <w:spacing w:after="60"/>
      </w:pPr>
      <w:r>
        <w:rPr>
          <w:rFonts w:ascii="Arial" w:cs="Arial" w:eastAsia="Arial" w:hAnsi="Arial"/>
          <w:color w:val="333333"/>
          <w:sz w:val="22"/>
          <w:szCs w:val="22"/>
        </w:rPr>
        <w:t xml:space="preserve">Credit-based models grew 126% YoY — HubSpot, Salesforce, and others added credit systems in 2025.</w:t>
      </w:r>
    </w:p>
    <w:p>
      <w:pPr>
        <w:pStyle w:val="ListParagraph"/>
        <w:numPr>
          <w:ilvl w:val="0"/>
          <w:numId w:val="2"/>
        </w:numPr>
        <w:spacing w:after="60"/>
      </w:pPr>
      <w:r>
        <w:rPr>
          <w:rFonts w:ascii="Arial" w:cs="Arial" w:eastAsia="Arial" w:hAnsi="Arial"/>
          <w:color w:val="333333"/>
          <w:sz w:val="22"/>
          <w:szCs w:val="22"/>
        </w:rPr>
        <w:t xml:space="preserve">SMB buyers still prefer simplicity: per-seat pricing they can map to existing budgets.</w:t>
      </w:r>
    </w:p>
    <w:p>
      <w:pPr>
        <w:spacing w:after="60"/>
      </w:pPr>
    </w:p>
    <w:p>
      <w:pPr>
        <w:spacing w:after="120"/>
        <w:jc w:val="left"/>
      </w:pPr>
      <w:r>
        <w:rPr>
          <w:rFonts w:ascii="Arial" w:cs="Arial" w:eastAsia="Arial" w:hAnsi="Arial"/>
          <w:b/>
          <w:bCs/>
          <w:i w:val="false"/>
          <w:iCs w:val="false"/>
          <w:color w:val="333333"/>
          <w:sz w:val="22"/>
          <w:szCs w:val="22"/>
        </w:rPr>
        <w:t xml:space="preserve">Recommendation: Use per-seat pricing as the base (SMBs understand it), with optional usage add-ons for heavy AI users. This hybrid approach aligns with market trends while keeping the entry point simple.</w:t>
      </w:r>
    </w:p>
    <w:p>
      <w:r>
        <w:br w:type="page"/>
      </w:r>
    </w:p>
    <w:p>
      <w:pPr>
        <w:pStyle w:val="Heading1"/>
        <w:spacing w:before="360" w:after="200"/>
      </w:pPr>
      <w:r>
        <w:rPr>
          <w:rFonts w:ascii="Arial" w:cs="Arial" w:eastAsia="Arial" w:hAnsi="Arial"/>
        </w:rPr>
        <w:t xml:space="preserve">3. AI Usage Modeling — CSM Workflows</w:t>
      </w:r>
    </w:p>
    <w:p>
      <w:pPr>
        <w:spacing w:after="120"/>
        <w:jc w:val="left"/>
      </w:pPr>
      <w:r>
        <w:rPr>
          <w:rFonts w:ascii="Arial" w:cs="Arial" w:eastAsia="Arial" w:hAnsi="Arial"/>
          <w:b w:val="false"/>
          <w:bCs w:val="false"/>
          <w:i w:val="false"/>
          <w:iCs w:val="false"/>
          <w:color w:val="333333"/>
          <w:sz w:val="22"/>
          <w:szCs w:val="22"/>
        </w:rPr>
        <w:t xml:space="preserve">Each CSM performs AI-assisted tasks throughout their day. Here’s how token consumption maps to real CSM workflows:</w:t>
      </w:r>
    </w:p>
    <w:p>
      <w:pPr>
        <w:spacing w:after="60"/>
      </w:pPr>
    </w:p>
    <w:p>
      <w:pPr>
        <w:pStyle w:val="Heading2"/>
        <w:spacing w:before="280" w:after="160"/>
      </w:pPr>
      <w:r>
        <w:rPr>
          <w:rFonts w:ascii="Arial" w:cs="Arial" w:eastAsia="Arial" w:hAnsi="Arial"/>
        </w:rPr>
        <w:t xml:space="preserve">3.1 Per-Artifact Token Estimates by Task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60"/>
      </w:tblGrid>
      <w:t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CSM Task</w:t>
            </w:r>
          </w:p>
        </w:tc>
        <w:tc>
          <w:tcPr>
            <w:tcW w:type="dxa" w:w="135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Input Tok.</w:t>
            </w:r>
          </w:p>
        </w:tc>
        <w:tc>
          <w:tcPr>
            <w:tcW w:type="dxa" w:w="135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 Tok.</w:t>
            </w:r>
          </w:p>
        </w:tc>
        <w:tc>
          <w:tcPr>
            <w:tcW w:type="dxa" w:w="135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Freq/CSM/Mo</w:t>
            </w:r>
          </w:p>
        </w:tc>
        <w:tc>
          <w:tcPr>
            <w:tcW w:type="dxa" w:w="135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Cost/Task</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Client email draft</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Haiku</w:t>
            </w:r>
          </w:p>
        </w:tc>
        <w:tc>
          <w:tcPr>
            <w:tcW w:type="dxa" w:w="1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$0.005</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Health score summary</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Sonnet</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$0.026</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Meeting prep / notes</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Sonnet</w:t>
            </w:r>
          </w:p>
        </w:tc>
        <w:tc>
          <w:tcPr>
            <w:tcW w:type="dxa" w:w="1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$0.023</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QBR report generation</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3,500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Sonnet</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$0.060</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Churn risk analysis</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1,800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Sonnet</w:t>
            </w:r>
          </w:p>
        </w:tc>
        <w:tc>
          <w:tcPr>
            <w:tcW w:type="dxa" w:w="1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$0.036</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Onboarding playbook</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3,000</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w:t>
            </w:r>
          </w:p>
        </w:tc>
        <w:tc>
          <w:tcPr>
            <w:tcW w:type="dxa" w:w="135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Opus</w:t>
            </w:r>
          </w:p>
        </w:tc>
        <w:tc>
          <w:tcPr>
            <w:tcW w:type="dxa" w:w="1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$0.085</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Quick client lookup</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300</w:t>
            </w:r>
          </w:p>
        </w:tc>
        <w:tc>
          <w:tcPr>
            <w:tcW w:type="dxa" w:w="135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Haiku</w:t>
            </w:r>
          </w:p>
        </w:tc>
        <w:tc>
          <w:tcPr>
            <w:tcW w:type="dxa" w:w="13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$0.003</w:t>
            </w:r>
          </w:p>
        </w:tc>
      </w:tr>
    </w:tbl>
    <w:p>
      <w:pPr>
        <w:spacing w:after="60"/>
      </w:pPr>
    </w:p>
    <w:p>
      <w:pPr>
        <w:spacing w:after="120"/>
        <w:jc w:val="left"/>
      </w:pPr>
      <w:r>
        <w:rPr>
          <w:rFonts w:ascii="Arial" w:cs="Arial" w:eastAsia="Arial" w:hAnsi="Arial"/>
          <w:b w:val="false"/>
          <w:bCs w:val="false"/>
          <w:i/>
          <w:iCs/>
          <w:color w:val="333333"/>
          <w:sz w:val="22"/>
          <w:szCs w:val="22"/>
        </w:rPr>
        <w:t xml:space="preserve">A typical CSM generates approximately 860 AI-assisted actions per month, with a weighted average cost of $0.016 per action using intelligent model routing.</w:t>
      </w:r>
    </w:p>
    <w:p>
      <w:pPr>
        <w:pStyle w:val="Heading2"/>
        <w:spacing w:before="280" w:after="160"/>
      </w:pPr>
      <w:r>
        <w:rPr>
          <w:rFonts w:ascii="Arial" w:cs="Arial" w:eastAsia="Arial" w:hAnsi="Arial"/>
        </w:rPr>
        <w:t xml:space="preserve">3.2 Monthly API Cost by Team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500"/>
        <w:gridCol w:w="1500"/>
        <w:gridCol w:w="1500"/>
        <w:gridCol w:w="1500"/>
        <w:gridCol w:w="1490"/>
      </w:tblGrid>
      <w:tr>
        <w:tc>
          <w:tcPr>
            <w:tcW w:type="dxa" w:w="187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Team Size</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Artifacts/Mo</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Input Tokens</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 Tokens</w:t>
            </w:r>
          </w:p>
        </w:tc>
        <w:tc>
          <w:tcPr>
            <w:tcW w:type="dxa" w:w="1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API Cost</w:t>
            </w:r>
          </w:p>
        </w:tc>
        <w:tc>
          <w:tcPr>
            <w:tcW w:type="dxa" w:w="149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 Seat</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5 CSMs</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4,300</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4.7M</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6.2M</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$72</w:t>
            </w:r>
          </w:p>
        </w:tc>
        <w:tc>
          <w:tcPr>
            <w:tcW w:type="dxa" w:w="149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$14.40</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10 CSMs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8,600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9.4M</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12.4M</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$144</w:t>
            </w:r>
          </w:p>
        </w:tc>
        <w:tc>
          <w:tcPr>
            <w:tcW w:type="dxa" w:w="149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$14.40</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15 CSMs</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12,900</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14.1M</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18.6M</w:t>
            </w:r>
          </w:p>
        </w:tc>
        <w:tc>
          <w:tcPr>
            <w:tcW w:type="dxa" w:w="15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$216</w:t>
            </w:r>
          </w:p>
        </w:tc>
        <w:tc>
          <w:tcPr>
            <w:tcW w:type="dxa" w:w="149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$14.40</w:t>
            </w:r>
          </w:p>
        </w:tc>
      </w:tr>
      <w:tr>
        <w:tc>
          <w:tcPr>
            <w:tcW w:type="dxa" w:w="187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20 CSMs</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17,200</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18.8M</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24.8M</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$288</w:t>
            </w:r>
          </w:p>
        </w:tc>
        <w:tc>
          <w:tcPr>
            <w:tcW w:type="dxa" w:w="149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$14.40</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These figures use intelligent model routing: Haiku 4.5 for simple tasks (emails, lookups — ~58% of volume) and Sonnet 4.5 for complex tasks (health scores, QBRs, churn analysis — ~38%), with Opus reserved for high-value outputs (~4%). Prompt caching is assumed at a 70% hit rate.</w:t>
      </w:r>
    </w:p>
    <w:p>
      <w:r>
        <w:br w:type="page"/>
      </w:r>
    </w:p>
    <w:p>
      <w:pPr>
        <w:pStyle w:val="Heading1"/>
        <w:spacing w:before="360" w:after="200"/>
      </w:pPr>
      <w:r>
        <w:rPr>
          <w:rFonts w:ascii="Arial" w:cs="Arial" w:eastAsia="Arial" w:hAnsi="Arial"/>
        </w:rPr>
        <w:t xml:space="preserve">4. Full Monthly Cost Stack (10 CSMs / 300 Clients)</w:t>
      </w:r>
    </w:p>
    <w:p>
      <w:pPr>
        <w:spacing w:after="120"/>
        <w:jc w:val="left"/>
      </w:pPr>
      <w:r>
        <w:rPr>
          <w:rFonts w:ascii="Arial" w:cs="Arial" w:eastAsia="Arial" w:hAnsi="Arial"/>
          <w:b w:val="false"/>
          <w:bCs w:val="false"/>
          <w:i w:val="false"/>
          <w:iCs w:val="false"/>
          <w:color w:val="333333"/>
          <w:sz w:val="22"/>
          <w:szCs w:val="22"/>
        </w:rPr>
        <w:t xml:space="preserve">The following models total monthly operating costs for the recommended mid-tier scenario: a team of 10 CSMs managing 300 client accounts.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460"/>
        <w:gridCol w:w="1460"/>
        <w:gridCol w:w="1480"/>
        <w:gridCol w:w="1460"/>
      </w:tblGrid>
      <w:tr>
        <w:tc>
          <w:tcPr>
            <w:tcW w:type="dxa" w:w="35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Category</w:t>
            </w:r>
          </w:p>
        </w:tc>
        <w:tc>
          <w:tcPr>
            <w:tcW w:type="dxa" w:w="1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1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Expected</w:t>
            </w:r>
          </w:p>
        </w:tc>
        <w:tc>
          <w:tcPr>
            <w:tcW w:type="dxa" w:w="14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14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Claude API (routed)</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$108</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$144</w:t>
            </w:r>
          </w:p>
        </w:tc>
        <w:tc>
          <w:tcPr>
            <w:tcW w:type="dxa" w:w="14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$216</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Sec. 3.2</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Cloud Hosting (Vercel/AWS)</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$100</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App + API</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Database (Supabase/Neon)</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$150</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300 clients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Authentication (Clerk/Auth0)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10–20 users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Stripe Payment Processing</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$23</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w:t>
            </w:r>
          </w:p>
        </w:tc>
        <w:tc>
          <w:tcPr>
            <w:tcW w:type="dxa" w:w="14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$28</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2.9%+$0.30</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CRM Integration (HubSpot/SF)</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API/webhook</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Email Service (SendGrid)</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w:t>
            </w:r>
          </w:p>
        </w:tc>
        <w:tc>
          <w:tcPr>
            <w:tcW w:type="dxa" w:w="14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Transactional</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Monitoring (Sentry/Datadog)</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Error + perf</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Domain + SSL + CDN</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w:t>
            </w:r>
          </w:p>
        </w:tc>
        <w:tc>
          <w:tcPr>
            <w:tcW w:type="dxa" w:w="14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w:t>
            </w:r>
          </w:p>
        </w:tc>
        <w:tc>
          <w:tcPr>
            <w:tcW w:type="dxa" w:w="14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Amortized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CI/CD + DevOps</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GitHub Actions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1A5276"/>
                <w:sz w:val="19"/>
                <w:szCs w:val="19"/>
              </w:rPr>
              <w:t xml:space="preserve">TOTAL MONTHLY</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$208</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$469</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$984</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2E86C1"/>
                <w:sz w:val="19"/>
                <w:szCs w:val="19"/>
              </w:rPr>
              <w:t xml:space="preserve">COST PER SEAT (10 CSMs)</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86C1"/>
                <w:sz w:val="19"/>
                <w:szCs w:val="19"/>
              </w:rPr>
              <w:t xml:space="preserve">$20.80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86C1"/>
                <w:sz w:val="19"/>
                <w:szCs w:val="19"/>
              </w:rPr>
              <w:t xml:space="preserve">$46.90</w:t>
            </w:r>
          </w:p>
        </w:tc>
        <w:tc>
          <w:tcPr>
            <w:tcW w:type="dxa" w:w="14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86C1"/>
                <w:sz w:val="19"/>
                <w:szCs w:val="19"/>
              </w:rPr>
              <w:t xml:space="preserve">$98.40</w:t>
            </w:r>
          </w:p>
        </w:tc>
        <w:tc>
          <w:tcPr>
            <w:tcW w:type="dxa" w:w="14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
            </w:r>
          </w:p>
        </w:tc>
      </w:tr>
    </w:tbl>
    <w:p>
      <w:pPr>
        <w:spacing w:after="60"/>
      </w:pPr>
    </w:p>
    <w:p>
      <w:pPr>
        <w:pBdr>
          <w:left w:val="single" w:color="2E86C1" w:sz="12" w:space="8"/>
        </w:pBdr>
        <w:spacing w:before="100" w:after="200"/>
        <w:ind w:left="200"/>
      </w:pPr>
      <w:r>
        <w:rPr>
          <w:rFonts w:ascii="Arial" w:cs="Arial" w:eastAsia="Arial" w:hAnsi="Arial"/>
          <w:b/>
          <w:bCs/>
          <w:color w:val="2E86C1"/>
          <w:sz w:val="22"/>
          <w:szCs w:val="22"/>
        </w:rPr>
        <w:t xml:space="preserve">At the expected cost of $469/month for 10 seats, your cost-per-seat is ~$47. Pricing at $79/seat gives you a 41% margin — and that improves as you add more customers across shared infrastructure.</w:t>
      </w:r>
    </w:p>
    <w:p>
      <w:r>
        <w:br w:type="page"/>
      </w:r>
    </w:p>
    <w:p>
      <w:pPr>
        <w:pStyle w:val="Heading1"/>
        <w:spacing w:before="360" w:after="200"/>
      </w:pPr>
      <w:r>
        <w:rPr>
          <w:rFonts w:ascii="Arial" w:cs="Arial" w:eastAsia="Arial" w:hAnsi="Arial"/>
        </w:rPr>
        <w:t xml:space="preserve">5. Recommended Tiered Pricing Strategy</w:t>
      </w:r>
    </w:p>
    <w:p>
      <w:pPr>
        <w:spacing w:after="120"/>
        <w:jc w:val="left"/>
      </w:pPr>
      <w:r>
        <w:rPr>
          <w:rFonts w:ascii="Arial" w:cs="Arial" w:eastAsia="Arial" w:hAnsi="Arial"/>
          <w:b w:val="false"/>
          <w:bCs w:val="false"/>
          <w:i w:val="false"/>
          <w:iCs w:val="false"/>
          <w:color w:val="333333"/>
          <w:sz w:val="22"/>
          <w:szCs w:val="22"/>
        </w:rPr>
        <w:t xml:space="preserve">The following three-tier pricing model is designed for the SMB market, balancing aggressive competitive positioning with sustainable margins. The structure uses per-seat pricing (what SMB buyers expect) with client-account limits per tier (preventing abuse and enabling upsell).</w:t>
      </w:r>
    </w:p>
    <w:p>
      <w:pPr>
        <w:spacing w:after="60"/>
      </w:pPr>
    </w:p>
    <w:p>
      <w:pPr>
        <w:pStyle w:val="Heading2"/>
        <w:spacing w:before="280" w:after="160"/>
      </w:pPr>
      <w:r>
        <w:rPr>
          <w:rFonts w:ascii="Arial" w:cs="Arial" w:eastAsia="Arial" w:hAnsi="Arial"/>
        </w:rPr>
        <w:t xml:space="preserve">5.1 Starter — $39/seat/month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Included</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Price</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$39/seat/month (billed monthly) or $33/seat/month (annual)</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Seats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3–5 CSMs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Client Accounts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Up to 100 clients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Model</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Haiku 4.5 (fast, cost-efficient)</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Actions/Seat/Month</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500 actions included</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Key Features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Email drafts, client lookups, basic health scores, meeting notes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Integrations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2 integrations (e.g., HubSpot CRM + Slack)</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Support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Email support, knowledge base</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Target Customer: Early-stage SaaS companies with a small CS team just formalizing their process. Competes with Custify’s entry tier ($25/seat) and Totango’s Starter ($199/mo flat).</w:t>
      </w:r>
    </w:p>
    <w:p>
      <w:pPr>
        <w:spacing w:after="60"/>
      </w:pPr>
    </w:p>
    <w:p>
      <w:pPr>
        <w:pStyle w:val="Heading2"/>
        <w:spacing w:before="280" w:after="160"/>
      </w:pPr>
      <w:r>
        <w:rPr>
          <w:rFonts w:ascii="Arial" w:cs="Arial" w:eastAsia="Arial" w:hAnsi="Arial"/>
        </w:rPr>
        <w:t xml:space="preserve">5.2 Growth — $79/seat/month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Included</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Price</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$79/seat/month (billed monthly) or $67/seat/month (annual)</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Seats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5–15 CSMs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Client Accounts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Up to 300 clients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Model</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Sonnet 4.5 (balanced quality) + Haiku for simple tasks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Actions/Seat/Month</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1,000 actions included</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Key Features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Everything in Starter + QBR generation, churn risk scoring, automated health dashboards, playbook templates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Integrations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Unlimited integrations (CRM, helpdesk, billing, Slack, etc.)</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Support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Priority email + chat, onboarding call</w:t>
            </w:r>
          </w:p>
        </w:tc>
      </w:tr>
    </w:tbl>
    <w:p>
      <w:pPr>
        <w:spacing w:after="60"/>
      </w:pPr>
    </w:p>
    <w:p>
      <w:pPr>
        <w:pBdr>
          <w:left w:val="single" w:color="1E8449" w:sz="12" w:space="8"/>
        </w:pBdr>
        <w:spacing w:before="100" w:after="200"/>
        <w:ind w:left="200"/>
      </w:pPr>
      <w:r>
        <w:rPr>
          <w:rFonts w:ascii="Arial" w:cs="Arial" w:eastAsia="Arial" w:hAnsi="Arial"/>
          <w:b/>
          <w:bCs/>
          <w:color w:val="1E8449"/>
          <w:sz w:val="22"/>
          <w:szCs w:val="22"/>
        </w:rPr>
        <w:t xml:space="preserve">This is your anchor tier — the one most SMBs will land on. At $79/seat for 10 CSMs ($790/mo), you’re 50–75% cheaper than ChurnZero ($12K–$40K/yr) and delivering more AI automation out of the box.</w:t>
      </w:r>
    </w:p>
    <w:p>
      <w:pPr>
        <w:spacing w:after="60"/>
      </w:pPr>
    </w:p>
    <w:p>
      <w:pPr>
        <w:pStyle w:val="Heading2"/>
        <w:spacing w:before="280" w:after="160"/>
      </w:pPr>
      <w:r>
        <w:rPr>
          <w:rFonts w:ascii="Arial" w:cs="Arial" w:eastAsia="Arial" w:hAnsi="Arial"/>
        </w:rPr>
        <w:t xml:space="preserve">5.3 Scale — $119/seat/month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Feature</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Included</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Price</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$119/seat/month (billed monthly) or $99/seat/month (annual)</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Seats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10–25 CSMs (custom pricing for 25+)</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Client Accounts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Unlimited clients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Model</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Sonnet 4.5 + Opus 4.5 for premium outputs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AI Actions/Seat/Month</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2,000 actions included + $0.02/overage action</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Key Features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Everything in Growth + custom playbook builder, AI-generated QBR decks, predictive churn modeling, multi-team analytics, API access</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Integrations</w:t>
            </w:r>
          </w:p>
        </w:tc>
        <w:tc>
          <w:tcPr>
            <w:tcW w:type="dxa" w:w="46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Unlimited + custom webhook + API</w:t>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Support</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Dedicated CSM, Slack channel, quarterly reviews</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Target Customer: Scaling SaaS companies with mature CS orgs needing advanced analytics and AI-driven automation. Competes favorably against Planhat ($3–5K/mo) and Vitally’s enterprise tier.</w:t>
      </w:r>
    </w:p>
    <w:p>
      <w:r>
        <w:br w:type="page"/>
      </w:r>
    </w:p>
    <w:p>
      <w:pPr>
        <w:pStyle w:val="Heading1"/>
        <w:spacing w:before="360" w:after="200"/>
      </w:pPr>
      <w:r>
        <w:rPr>
          <w:rFonts w:ascii="Arial" w:cs="Arial" w:eastAsia="Arial" w:hAnsi="Arial"/>
        </w:rPr>
        <w:t xml:space="preserve">6. Profitability Analysis by Tier &amp; Team Size</w:t>
      </w:r>
    </w:p>
    <w:p>
      <w:pPr>
        <w:spacing w:after="120"/>
        <w:jc w:val="left"/>
      </w:pPr>
      <w:r>
        <w:rPr>
          <w:rFonts w:ascii="Arial" w:cs="Arial" w:eastAsia="Arial" w:hAnsi="Arial"/>
          <w:b w:val="false"/>
          <w:bCs w:val="false"/>
          <w:i w:val="false"/>
          <w:iCs w:val="false"/>
          <w:color w:val="333333"/>
          <w:sz w:val="22"/>
          <w:szCs w:val="22"/>
        </w:rPr>
        <w:t xml:space="preserve">The following tables show revenue, costs, and margins for each pricing tier across different team sizes. All figures assume web-only distribution (Stripe processing) and expected-case infrastructure costs.</w:t>
      </w:r>
    </w:p>
    <w:p>
      <w:pPr>
        <w:spacing w:after="60"/>
      </w:pPr>
    </w:p>
    <w:p>
      <w:pPr>
        <w:pStyle w:val="Heading2"/>
        <w:spacing w:before="280" w:after="160"/>
      </w:pPr>
      <w:r>
        <w:rPr>
          <w:rFonts w:ascii="Arial" w:cs="Arial" w:eastAsia="Arial" w:hAnsi="Arial"/>
        </w:rPr>
        <w:t xml:space="preserve">6.1 Starter Tier ($39/seat/mo)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Team</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MRR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Stripe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Profit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Margin</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3 seats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$117</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$152</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9"/>
                <w:szCs w:val="19"/>
              </w:rPr>
              <w:t xml:space="preserve">-$39</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9"/>
                <w:szCs w:val="19"/>
              </w:rPr>
              <w:t xml:space="preserve">-33%</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5 seats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$195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$189</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9"/>
                <w:szCs w:val="19"/>
              </w:rPr>
              <w:t xml:space="preserve">-$1</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67E22"/>
                <w:sz w:val="19"/>
                <w:szCs w:val="19"/>
              </w:rPr>
              <w:t xml:space="preserve">~0%</w:t>
            </w:r>
          </w:p>
        </w:tc>
      </w:tr>
    </w:tbl>
    <w:p>
      <w:pPr>
        <w:spacing w:after="60"/>
      </w:pPr>
    </w:p>
    <w:p>
      <w:pPr>
        <w:spacing w:after="120"/>
        <w:jc w:val="left"/>
      </w:pPr>
      <w:r>
        <w:rPr>
          <w:rFonts w:ascii="Arial" w:cs="Arial" w:eastAsia="Arial" w:hAnsi="Arial"/>
          <w:b w:val="false"/>
          <w:bCs w:val="false"/>
          <w:i/>
          <w:iCs/>
          <w:color w:val="333333"/>
          <w:sz w:val="22"/>
          <w:szCs w:val="22"/>
        </w:rPr>
        <w:t xml:space="preserve">The Starter tier is a loss-leader / break-even tier by design. Its purpose is customer acquisition and upsell to Growth. This is common in SaaS — your free-to-cheap tier builds pipeline, not profit.</w:t>
      </w:r>
    </w:p>
    <w:p>
      <w:pPr>
        <w:spacing w:after="60"/>
      </w:pPr>
    </w:p>
    <w:p>
      <w:pPr>
        <w:pStyle w:val="Heading2"/>
        <w:spacing w:before="280" w:after="160"/>
      </w:pPr>
      <w:r>
        <w:rPr>
          <w:rFonts w:ascii="Arial" w:cs="Arial" w:eastAsia="Arial" w:hAnsi="Arial"/>
        </w:rPr>
        <w:t xml:space="preserve">6.2 Growth Tier ($79/seat/mo) — Your Profit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Team</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MRR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Stripe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Profit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Margin</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5 seats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$395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$286</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$96</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24%</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10 seats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$790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$469</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$296</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37%</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15 seats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$1,185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$36</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$619</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$530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45%</w:t>
            </w:r>
          </w:p>
        </w:tc>
      </w:tr>
    </w:tbl>
    <w:p>
      <w:pPr>
        <w:spacing w:after="60"/>
      </w:pPr>
    </w:p>
    <w:p>
      <w:pPr>
        <w:pBdr>
          <w:left w:val="single" w:color="1E8449" w:sz="12" w:space="8"/>
        </w:pBdr>
        <w:spacing w:before="100" w:after="200"/>
        <w:ind w:left="200"/>
      </w:pPr>
      <w:r>
        <w:rPr>
          <w:rFonts w:ascii="Arial" w:cs="Arial" w:eastAsia="Arial" w:hAnsi="Arial"/>
          <w:b/>
          <w:bCs/>
          <w:color w:val="1E8449"/>
          <w:sz w:val="22"/>
          <w:szCs w:val="22"/>
        </w:rPr>
        <w:t xml:space="preserve">At 10 seats, the Growth tier generates $296/month profit (37% margin). At 15 seats, this jumps to $530/month (45%). Infrastructure costs don’t scale linearly — each additional seat adds only ~$15–20 in marginal cost.</w:t>
      </w:r>
    </w:p>
    <w:p>
      <w:pPr>
        <w:spacing w:after="60"/>
      </w:pPr>
    </w:p>
    <w:p>
      <w:pPr>
        <w:pStyle w:val="Heading2"/>
        <w:spacing w:before="280" w:after="160"/>
      </w:pPr>
      <w:r>
        <w:rPr>
          <w:rFonts w:ascii="Arial" w:cs="Arial" w:eastAsia="Arial" w:hAnsi="Arial"/>
        </w:rPr>
        <w:t xml:space="preserve">6.3 Scale Tier ($119/seat/mo)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Team</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MRR</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Stripe</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Profit</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Margin</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10 seats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$1,190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$37</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$572</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$581</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49%</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15 seats</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$1,785</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$54</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$760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$971</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54%</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20 seats</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$2,380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$72</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$984</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$1,324</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56%</w:t>
            </w:r>
          </w:p>
        </w:tc>
      </w:tr>
    </w:tbl>
    <w:p>
      <w:pPr>
        <w:spacing w:after="60"/>
      </w:pPr>
    </w:p>
    <w:p>
      <w:pPr>
        <w:spacing w:after="120"/>
        <w:jc w:val="left"/>
      </w:pPr>
      <w:r>
        <w:rPr>
          <w:rFonts w:ascii="Arial" w:cs="Arial" w:eastAsia="Arial" w:hAnsi="Arial"/>
          <w:b w:val="false"/>
          <w:bCs w:val="false"/>
          <w:i w:val="false"/>
          <w:iCs w:val="false"/>
          <w:color w:val="333333"/>
          <w:sz w:val="22"/>
          <w:szCs w:val="22"/>
        </w:rPr>
        <w:t xml:space="preserve">The Scale tier is where margins get compelling. With 20 seats, you earn $1,324/month profit at a 56% margin. The Opus model costs more per call, but it’s only used for ~4% of actions, keeping cost impact minimal.</w:t>
      </w:r>
    </w:p>
    <w:p>
      <w:r>
        <w:br w:type="page"/>
      </w:r>
    </w:p>
    <w:p>
      <w:pPr>
        <w:pStyle w:val="Heading1"/>
        <w:spacing w:before="360" w:after="200"/>
      </w:pPr>
      <w:r>
        <w:rPr>
          <w:rFonts w:ascii="Arial" w:cs="Arial" w:eastAsia="Arial" w:hAnsi="Arial"/>
        </w:rPr>
        <w:t xml:space="preserve">7. Blended Portfolio — Realistic Customer Mix</w:t>
      </w:r>
    </w:p>
    <w:p>
      <w:pPr>
        <w:spacing w:after="120"/>
        <w:jc w:val="left"/>
      </w:pPr>
      <w:r>
        <w:rPr>
          <w:rFonts w:ascii="Arial" w:cs="Arial" w:eastAsia="Arial" w:hAnsi="Arial"/>
          <w:b w:val="false"/>
          <w:bCs w:val="false"/>
          <w:i w:val="false"/>
          <w:iCs w:val="false"/>
          <w:color w:val="333333"/>
          <w:sz w:val="22"/>
          <w:szCs w:val="22"/>
        </w:rPr>
        <w:t xml:space="preserve">In practice, you won’t have all customers on one tier. Here’s a realistic scenario for your first year with a mix of customers: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560"/>
        <w:gridCol w:w="1560"/>
        <w:gridCol w:w="1080"/>
        <w:gridCol w:w="1000"/>
      </w:tblGrid>
      <w:t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Tier</w:t>
            </w:r>
          </w:p>
        </w:tc>
        <w:tc>
          <w:tcPr>
            <w:tcW w:type="dxa" w:w="1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Customers</w:t>
            </w:r>
          </w:p>
        </w:tc>
        <w:tc>
          <w:tcPr>
            <w:tcW w:type="dxa" w:w="13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Avg Seats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Seats</w:t>
            </w:r>
          </w:p>
        </w:tc>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MRR</w:t>
            </w:r>
          </w:p>
        </w:tc>
        <w:tc>
          <w:tcPr>
            <w:tcW w:type="dxa" w:w="10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w:t>
            </w:r>
          </w:p>
        </w:tc>
        <w:tc>
          <w:tcPr>
            <w:tcW w:type="dxa" w:w="1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Profit</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Starter</w:t>
            </w:r>
          </w:p>
        </w:tc>
        <w:tc>
          <w:tcPr>
            <w:tcW w:type="dxa" w:w="13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w:t>
            </w:r>
          </w:p>
        </w:tc>
        <w:tc>
          <w:tcPr>
            <w:tcW w:type="dxa" w:w="13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32</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$1,248</w:t>
            </w:r>
          </w:p>
        </w:tc>
        <w:tc>
          <w:tcPr>
            <w:tcW w:type="dxa" w:w="1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$896</w:t>
            </w:r>
          </w:p>
        </w:tc>
        <w:tc>
          <w:tcPr>
            <w:tcW w:type="dxa" w:w="10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$352</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Growth</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8</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40</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$3,160</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$1,410</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$1,750</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Scale</w:t>
            </w:r>
          </w:p>
        </w:tc>
        <w:tc>
          <w:tcPr>
            <w:tcW w:type="dxa" w:w="13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w:t>
            </w:r>
          </w:p>
        </w:tc>
        <w:tc>
          <w:tcPr>
            <w:tcW w:type="dxa" w:w="13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15</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w:t>
            </w:r>
          </w:p>
        </w:tc>
        <w:tc>
          <w:tcPr>
            <w:tcW w:type="dxa" w:w="156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$3,570</w:t>
            </w:r>
          </w:p>
        </w:tc>
        <w:tc>
          <w:tcPr>
            <w:tcW w:type="dxa" w:w="108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$1,320</w:t>
            </w:r>
          </w:p>
        </w:tc>
        <w:tc>
          <w:tcPr>
            <w:tcW w:type="dxa" w:w="100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$2,250</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TOTAL</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15</w:t>
            </w:r>
          </w:p>
        </w:tc>
        <w:tc>
          <w:tcPr>
            <w:tcW w:type="dxa" w:w="13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102</w:t>
            </w:r>
          </w:p>
        </w:tc>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$7,978</w:t>
            </w:r>
          </w:p>
        </w:tc>
        <w:tc>
          <w:tcPr>
            <w:tcW w:type="dxa" w:w="108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A5276"/>
                <w:sz w:val="19"/>
                <w:szCs w:val="19"/>
              </w:rPr>
              <w:t xml:space="preserve">$3,626</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$4,352</w:t>
            </w:r>
          </w:p>
        </w:tc>
      </w:tr>
    </w:tbl>
    <w:p>
      <w:pPr>
        <w:spacing w:after="60"/>
      </w:pPr>
    </w:p>
    <w:p>
      <w:pPr>
        <w:pBdr>
          <w:left w:val="single" w:color="1E8449" w:sz="12" w:space="8"/>
        </w:pBdr>
        <w:spacing w:before="100" w:after="200"/>
        <w:ind w:left="200"/>
      </w:pPr>
      <w:r>
        <w:rPr>
          <w:rFonts w:ascii="Arial" w:cs="Arial" w:eastAsia="Arial" w:hAnsi="Arial"/>
          <w:b/>
          <w:bCs/>
          <w:color w:val="1E8449"/>
          <w:sz w:val="22"/>
          <w:szCs w:val="22"/>
        </w:rPr>
        <w:t xml:space="preserve">With 15 SMB customers (102 total seats), the blended portfolio generates $7,978 MRR with $4,352/month profit — a 55% blended margin and $52K+ in annual profit before developer costs.</w:t>
      </w:r>
    </w:p>
    <w:p>
      <w:pPr>
        <w:spacing w:after="60"/>
      </w:pPr>
    </w:p>
    <w:p>
      <w:pPr>
        <w:spacing w:after="120"/>
        <w:jc w:val="left"/>
      </w:pPr>
      <w:r>
        <w:rPr>
          <w:rFonts w:ascii="Arial" w:cs="Arial" w:eastAsia="Arial" w:hAnsi="Arial"/>
          <w:b w:val="false"/>
          <w:bCs w:val="false"/>
          <w:i w:val="false"/>
          <w:iCs w:val="false"/>
          <w:color w:val="333333"/>
          <w:sz w:val="22"/>
          <w:szCs w:val="22"/>
        </w:rPr>
        <w:t xml:space="preserve">After deducting a part-time developer at $2,000/month, net annual profit is approximately $28,200. Hiring a full-time developer ($6,000–$8,000/month) would require scaling to ~25–30 customers to remain profitable.</w:t>
      </w:r>
    </w:p>
    <w:p>
      <w:r>
        <w:br w:type="page"/>
      </w:r>
    </w:p>
    <w:p>
      <w:pPr>
        <w:pStyle w:val="Heading1"/>
        <w:spacing w:before="360" w:after="200"/>
      </w:pPr>
      <w:r>
        <w:rPr>
          <w:rFonts w:ascii="Arial" w:cs="Arial" w:eastAsia="Arial" w:hAnsi="Arial"/>
        </w:rPr>
        <w:t xml:space="preserve">8. Pricing Page Summary</w:t>
      </w:r>
    </w:p>
    <w:p>
      <w:pPr>
        <w:spacing w:after="120"/>
        <w:jc w:val="left"/>
      </w:pPr>
      <w:r>
        <w:rPr>
          <w:rFonts w:ascii="Arial" w:cs="Arial" w:eastAsia="Arial" w:hAnsi="Arial"/>
          <w:b w:val="false"/>
          <w:bCs w:val="false"/>
          <w:i w:val="false"/>
          <w:iCs w:val="false"/>
          <w:color w:val="333333"/>
          <w:sz w:val="22"/>
          <w:szCs w:val="22"/>
        </w:rPr>
        <w:t xml:space="preserve">Here’s how the tiers would appear on your marketing site: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Starter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Growth</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Scale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Monthly Price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$39/seat</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$79/seat</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333333"/>
                <w:sz w:val="19"/>
                <w:szCs w:val="19"/>
              </w:rPr>
              <w:t xml:space="preserve">$119/seat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19"/>
                <w:szCs w:val="19"/>
              </w:rPr>
              <w:t xml:space="preserve">Annual Price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$33/seat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E8449"/>
                <w:sz w:val="19"/>
                <w:szCs w:val="19"/>
              </w:rPr>
              <w:t xml:space="preserve">$67/seat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$99/seat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Seats</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3–5</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5–15</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10–25+</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Client Accounts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300</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Unlimited</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AI Actions/Seat</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500/mo</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1,000/mo</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2,000/mo</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AI Quality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Fast (Haiku)</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Balanced (Sonnet)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Premium (Opus)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QBR Generation</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Churn Prediction</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Custom Playbooks</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API Access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bCs/>
                <w:i w:val="false"/>
                <w:iCs w:val="false"/>
                <w:color w:val="1E8449"/>
                <w:sz w:val="19"/>
                <w:szCs w:val="19"/>
              </w:rPr>
              <w:t xml:space="preserv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Integrations</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2</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Unlimited</w:t>
            </w:r>
          </w:p>
        </w:tc>
        <w:tc>
          <w:tcPr>
            <w:tcW w:type="dxa" w:w="2340"/>
            <w:tcBorders>
              <w:top w:val="single" w:color="BDC3C7" w:sz="1"/>
              <w:left w:val="single" w:color="BDC3C7" w:sz="1"/>
              <w:bottom w:val="single" w:color="BDC3C7" w:sz="1"/>
              <w:right w:val="single" w:color="BDC3C7" w:sz="1"/>
            </w:tcBorders>
            <w:shd w:fill="F2F7FB"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Unlimited + API</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19"/>
                <w:szCs w:val="19"/>
              </w:rPr>
              <w:t xml:space="preserve">Support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Email</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Priority + Chat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333333"/>
                <w:sz w:val="19"/>
                <w:szCs w:val="19"/>
              </w:rPr>
              <w:t xml:space="preserve">Dedicated CSM</w:t>
            </w:r>
          </w:p>
        </w:tc>
      </w:tr>
    </w:tbl>
    <w:p>
      <w:pPr>
        <w:spacing w:after="60"/>
      </w:pPr>
    </w:p>
    <w:p>
      <w:pPr>
        <w:pStyle w:val="Heading1"/>
        <w:spacing w:before="360" w:after="200"/>
      </w:pPr>
      <w:r>
        <w:rPr>
          <w:rFonts w:ascii="Arial" w:cs="Arial" w:eastAsia="Arial" w:hAnsi="Arial"/>
        </w:rPr>
        <w:t xml:space="preserve">9. Key Strategic Recommendations</w:t>
      </w:r>
    </w:p>
    <w:p>
      <w:pPr>
        <w:pStyle w:val="ListParagraph"/>
        <w:numPr>
          <w:ilvl w:val="0"/>
          <w:numId w:val="3"/>
        </w:numPr>
        <w:spacing w:after="60"/>
      </w:pPr>
      <w:r>
        <w:rPr>
          <w:rFonts w:ascii="Arial" w:cs="Arial" w:eastAsia="Arial" w:hAnsi="Arial"/>
          <w:color w:val="333333"/>
          <w:sz w:val="22"/>
          <w:szCs w:val="22"/>
        </w:rPr>
        <w:t xml:space="preserve">Lead with annual pricing: The 15% annual discount ($33/$67/$99 per seat) improves cash flow and reduces churn. Most SMBs prefer the predictability of annual billing.</w:t>
      </w:r>
    </w:p>
    <w:p>
      <w:pPr>
        <w:pStyle w:val="ListParagraph"/>
        <w:numPr>
          <w:ilvl w:val="0"/>
          <w:numId w:val="3"/>
        </w:numPr>
        <w:spacing w:after="60"/>
      </w:pPr>
      <w:r>
        <w:rPr>
          <w:rFonts w:ascii="Arial" w:cs="Arial" w:eastAsia="Arial" w:hAnsi="Arial"/>
          <w:color w:val="333333"/>
          <w:sz w:val="22"/>
          <w:szCs w:val="22"/>
        </w:rPr>
        <w:t xml:space="preserve">Use the Starter tier as a funnel, not a profit center: At near break-even, it exists to capture SMBs who will upgrade within 3–6 months as their team and client base grow.</w:t>
      </w:r>
    </w:p>
    <w:p>
      <w:pPr>
        <w:pStyle w:val="ListParagraph"/>
        <w:numPr>
          <w:ilvl w:val="0"/>
          <w:numId w:val="3"/>
        </w:numPr>
        <w:spacing w:after="60"/>
      </w:pPr>
      <w:r>
        <w:rPr>
          <w:rFonts w:ascii="Arial" w:cs="Arial" w:eastAsia="Arial" w:hAnsi="Arial"/>
          <w:color w:val="333333"/>
          <w:sz w:val="22"/>
          <w:szCs w:val="22"/>
        </w:rPr>
        <w:t xml:space="preserve">Implement usage guardrails: Cap AI actions per seat per month. Overage charges ($0.02–$0.05/action) protect margins from power users without punishing normal usage.</w:t>
      </w:r>
    </w:p>
    <w:p>
      <w:pPr>
        <w:pStyle w:val="ListParagraph"/>
        <w:numPr>
          <w:ilvl w:val="0"/>
          <w:numId w:val="3"/>
        </w:numPr>
        <w:spacing w:after="60"/>
      </w:pPr>
      <w:r>
        <w:rPr>
          <w:rFonts w:ascii="Arial" w:cs="Arial" w:eastAsia="Arial" w:hAnsi="Arial"/>
          <w:color w:val="333333"/>
          <w:sz w:val="22"/>
          <w:szCs w:val="22"/>
        </w:rPr>
        <w:t xml:space="preserve">Avoid app store distribution: Web-only sales through Stripe keeps your take-home at 97% of revenue. Apple’s 30% cut would wipe out margins entirely on the Starter tier and halve Growth tier profits.</w:t>
      </w:r>
    </w:p>
    <w:p>
      <w:pPr>
        <w:pStyle w:val="ListParagraph"/>
        <w:numPr>
          <w:ilvl w:val="0"/>
          <w:numId w:val="3"/>
        </w:numPr>
        <w:spacing w:after="60"/>
      </w:pPr>
      <w:r>
        <w:rPr>
          <w:rFonts w:ascii="Arial" w:cs="Arial" w:eastAsia="Arial" w:hAnsi="Arial"/>
          <w:color w:val="333333"/>
          <w:sz w:val="22"/>
          <w:szCs w:val="22"/>
        </w:rPr>
        <w:t xml:space="preserve">Monitor API cost-per-seat monthly: Your biggest variable cost is the Claude API. Track cost-per-seat weekly and adjust model routing if costs creep above $20/seat.</w:t>
      </w:r>
    </w:p>
    <w:p>
      <w:pPr>
        <w:pStyle w:val="ListParagraph"/>
        <w:numPr>
          <w:ilvl w:val="0"/>
          <w:numId w:val="3"/>
        </w:numPr>
        <w:spacing w:after="60"/>
      </w:pPr>
      <w:r>
        <w:rPr>
          <w:rFonts w:ascii="Arial" w:cs="Arial" w:eastAsia="Arial" w:hAnsi="Arial"/>
          <w:color w:val="333333"/>
          <w:sz w:val="22"/>
          <w:szCs w:val="22"/>
        </w:rPr>
        <w:t xml:space="preserve">Consider an outcome-based add-on: Offer a “churn saved” bonus feature where customers pay $50–$100 per at-risk client successfully retained. This aligns revenue with value delivered.</w:t>
      </w:r>
    </w:p>
    <w:p>
      <w:pPr>
        <w:spacing w:after="60"/>
      </w:pPr>
    </w:p>
    <w:p>
      <w:pPr>
        <w:pBdr>
          <w:top w:val="single" w:color="1A5276" w:sz="3" w:space="8"/>
        </w:pBdr>
        <w:spacing w:before="300"/>
      </w:pPr>
      <w:r>
        <w:rPr>
          <w:rFonts w:ascii="Arial" w:cs="Arial" w:eastAsia="Arial" w:hAnsi="Arial"/>
          <w:b/>
          <w:bCs/>
          <w:color w:val="7F8C8D"/>
          <w:sz w:val="18"/>
          <w:szCs w:val="18"/>
        </w:rPr>
        <w:t xml:space="preserve">Disclaimer: </w:t>
      </w:r>
      <w:r>
        <w:rPr>
          <w:rFonts w:ascii="Arial" w:cs="Arial" w:eastAsia="Arial" w:hAnsi="Arial"/>
          <w:i/>
          <w:iCs/>
          <w:color w:val="95A5A6"/>
          <w:sz w:val="18"/>
          <w:szCs w:val="18"/>
        </w:rPr>
        <w:t xml:space="preserve">All figures are estimates based on publicly available pricing as of March 2026. Actual costs vary based on usage patterns, provider changes, and implementation. This is not financial advice. Competitive pricing was sourced from public websites and community reports.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CSM Platform — Tiered Pricing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2026-03-01T03:07:19.308Z</dcterms:created>
  <dcterms:modified xsi:type="dcterms:W3CDTF">2026-03-01T03:07:19.309Z</dcterms:modified>
</cp:coreProperties>
</file>

<file path=docProps/custom.xml><?xml version="1.0" encoding="utf-8"?>
<Properties xmlns="http://schemas.openxmlformats.org/officeDocument/2006/custom-properties" xmlns:vt="http://schemas.openxmlformats.org/officeDocument/2006/docPropsVTypes"/>
</file>