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320" w:before="0" w:line="300" w:lineRule="auto"/>
        <w:jc w:val="center"/>
        <w:shd w:val="clear" w:color="auto" w:fill="800020"/>
      </w:pPr>
      <w:r>
        <w:rPr>
          <w:rFonts w:ascii="David" w:hAnsi="David" w:cs="David"/>
          <w:b/>
          <w:bCs/>
          <w:color w:val="FFFFFF"/>
          <w:sz w:val="21.0"/>
          <w:szCs w:val="21.0"/>
          <w:rtl/>
        </w:rPr>
        <w:t xml:space="preserve">מסמך הדגמה לבדיקת מערכת. אין תיק תלוי ועומד, צדדים אמיתיים, או שאלה משפטית קונקרטית. פרטים אלה יושלמו בעת הצורך, ראו סעיף </w:t>
      </w:r>
      <w:r>
        <w:rPr>
          <w:rFonts w:ascii="David" w:hAnsi="David" w:cs="David"/>
          <w:b/>
          <w:bCs/>
          <w:color w:val="FFFFFF"/>
          <w:sz w:val="21.0"/>
          <w:szCs w:val="21.0"/>
        </w:rPr>
        <w:t>4.1.</w:t>
      </w:r>
    </w:p>
    <w:p>
      <w:pPr>
        <w:spacing w:after="0" w:before="0" w:line="300" w:lineRule="auto"/>
        <w:jc w:val="center"/>
      </w:pPr>
      <w:r>
        <w:rPr>
          <w:rFonts w:ascii="David" w:hAnsi="David" w:cs="David"/>
          <w:b/>
          <w:bCs/>
          <w:color w:val="D4AF37"/>
          <w:sz w:val="28"/>
          <w:szCs w:val="28"/>
        </w:rPr>
        <w:t>LALUM</w:t>
      </w:r>
    </w:p>
    <w:p>
      <w:pPr>
        <w:bidi/>
        <w:spacing w:after="40" w:before="0" w:line="300" w:lineRule="auto"/>
        <w:jc w:val="center"/>
      </w:pPr>
      <w:r>
        <w:rPr>
          <w:rFonts w:ascii="David" w:hAnsi="David" w:cs="David"/>
          <w:b/>
          <w:bCs/>
          <w:color w:val="1B1B1B"/>
          <w:sz w:val="44"/>
          <w:szCs w:val="44"/>
          <w:rtl/>
        </w:rPr>
        <w:t>חוות דעת משפטית</w:t>
      </w:r>
    </w:p>
    <w:p>
      <w:pPr>
        <w:bidi/>
        <w:spacing w:after="80" w:before="0" w:line="300" w:lineRule="auto"/>
        <w:jc w:val="center"/>
      </w:pPr>
      <w:r>
        <w:rPr>
          <w:rFonts w:ascii="David" w:hAnsi="David" w:cs="David"/>
          <w:i/>
          <w:iCs/>
          <w:color w:val="800020"/>
          <w:sz w:val="24"/>
          <w:szCs w:val="24"/>
          <w:rtl/>
        </w:rPr>
        <w:t>השימוש המשפטי בטווח מחיר למ"ר שהופק מניתוח עסקאות השוואה, לעומת שומת מקרקעין</w:t>
      </w:r>
    </w:p>
    <w:p>
      <w:pPr>
        <w:bidi/>
        <w:spacing w:after="360" w:before="0" w:line="300" w:lineRule="auto"/>
        <w:jc w:val="center"/>
      </w:pPr>
      <w:r>
        <w:rPr>
          <w:rFonts w:ascii="David" w:hAnsi="David" w:cs="David"/>
          <w:color w:val="1B1B1B"/>
          <w:sz w:val="21.0"/>
          <w:szCs w:val="21.0"/>
          <w:rtl/>
        </w:rPr>
        <w:t xml:space="preserve">תאריך: </w:t>
      </w:r>
      <w:r>
        <w:rPr>
          <w:rFonts w:ascii="David" w:hAnsi="David" w:cs="David"/>
          <w:color w:val="1B1B1B"/>
          <w:sz w:val="21.0"/>
          <w:szCs w:val="21.0"/>
        </w:rPr>
        <w:t>04/08/2026</w:t>
      </w:r>
    </w:p>
    <w:p>
      <w:pPr>
        <w:bidi/>
        <w:spacing w:after="120" w:before="280" w:line="300" w:lineRule="auto"/>
        <w:jc w:val="right"/>
      </w:pPr>
      <w:r>
        <w:rPr>
          <w:rFonts w:ascii="David" w:hAnsi="David" w:cs="David"/>
          <w:b/>
          <w:bCs/>
          <w:color w:val="1B1B1B"/>
          <w:sz w:val="28"/>
          <w:szCs w:val="28"/>
          <w:rtl/>
        </w:rPr>
        <w:t>1. מבוא</w:t>
      </w:r>
    </w:p>
    <w:p>
      <w:pPr>
        <w:bidi/>
        <w:spacing w:after="120" w:before="160" w:line="300" w:lineRule="auto"/>
        <w:jc w:val="right"/>
      </w:pPr>
      <w:r>
        <w:rPr>
          <w:rFonts w:ascii="David" w:hAnsi="David" w:cs="David"/>
          <w:b/>
          <w:bCs/>
          <w:color w:val="1B1B1B"/>
          <w:sz w:val="24"/>
          <w:szCs w:val="24"/>
          <w:rtl/>
        </w:rPr>
        <w:t>1.1 הגדרת המומחה ומומחיותו</w:t>
      </w:r>
    </w:p>
    <w:p>
      <w:pPr>
        <w:bidi/>
        <w:spacing w:after="160" w:before="0" w:line="300" w:lineRule="auto"/>
        <w:jc w:val="both"/>
      </w:pPr>
      <w:r>
        <w:rPr>
          <w:rFonts w:ascii="David" w:hAnsi="David" w:cs="David"/>
          <w:sz w:val="24"/>
          <w:szCs w:val="24"/>
        </w:rPr>
        <w:t>הח"מ, עו"ד אברהם ללום, עוסק במשפט מקרקעין ובשילוב טכנולוגיה משפטית (</w:t>
      </w:r>
      <w:r>
        <w:rPr>
          <w:rFonts w:ascii="David" w:hAnsi="David" w:cs="David"/>
          <w:sz w:val="24"/>
          <w:szCs w:val="24"/>
        </w:rPr>
        <w:t>LALUM).</w:t>
      </w:r>
      <w:r>
        <w:rPr>
          <w:rFonts w:ascii="David" w:hAnsi="David" w:cs="David"/>
          <w:sz w:val="24"/>
          <w:szCs w:val="24"/>
        </w:rPr>
        <w:t xml:space="preserve"> חוות דעת זו ניתנת מכוח הכשרתי כעורך דין, לעניין השימוש המשפטי הראוי בנתוני עסקאות השוואה. אין מדובר בחוות דעת שמאית, ואין הח"מ שמאי מקרקעין מוסמך.</w:t>
      </w:r>
    </w:p>
    <w:p>
      <w:pPr>
        <w:bidi/>
        <w:spacing w:after="120" w:before="160" w:line="300" w:lineRule="auto"/>
        <w:jc w:val="right"/>
      </w:pPr>
      <w:r>
        <w:rPr>
          <w:rFonts w:ascii="David" w:hAnsi="David" w:cs="David"/>
          <w:b/>
          <w:bCs/>
          <w:color w:val="1B1B1B"/>
          <w:sz w:val="24"/>
          <w:szCs w:val="24"/>
          <w:rtl/>
        </w:rPr>
        <w:t>1.2 מגבלות ודיסקליימרים</w:t>
      </w:r>
    </w:p>
    <w:p>
      <w:pPr>
        <w:bidi/>
        <w:spacing w:after="160" w:before="0" w:line="300" w:lineRule="auto"/>
        <w:jc w:val="both"/>
      </w:pPr>
      <w:r>
        <w:rPr>
          <w:rFonts w:ascii="David" w:hAnsi="David" w:cs="David"/>
          <w:sz w:val="24"/>
          <w:szCs w:val="24"/>
        </w:rPr>
        <w:t xml:space="preserve">חוות דעת זו נועדה לשמש ככלי עזר מקצועי לצורך הערכה משפטית בלבד, ואינה מהווה מסמך מחייב להליכים שיפוטיים. כל שימוש אחר מחייב אישור מפורש ובכתב מאת הח"מ. הניתוח הכספי המוזכר בחוות דעת זו מבוסס על נתוני עסקאות שנאספו ועובדו על ידי הח"מ מתוך פרסומי </w:t>
      </w:r>
      <w:r>
        <w:rPr>
          <w:rFonts w:ascii="David" w:hAnsi="David" w:cs="David"/>
          <w:sz w:val="24"/>
          <w:szCs w:val="24"/>
        </w:rPr>
        <w:t>nadlan.gov.il,</w:t>
      </w:r>
      <w:r>
        <w:rPr>
          <w:rFonts w:ascii="David" w:hAnsi="David" w:cs="David"/>
          <w:sz w:val="24"/>
          <w:szCs w:val="24"/>
        </w:rPr>
        <w:t xml:space="preserve"> אינו שומת מקרקעין, ואינו תחליף לחוות דעת שמאי מקרקעין מוסמך מטעם המועצה לשמאי מקרקעין.</w:t>
      </w:r>
    </w:p>
    <w:p>
      <w:pPr>
        <w:bidi/>
        <w:spacing w:after="120" w:before="280" w:line="300" w:lineRule="auto"/>
        <w:jc w:val="right"/>
      </w:pPr>
      <w:r>
        <w:rPr>
          <w:rFonts w:ascii="David" w:hAnsi="David" w:cs="David"/>
          <w:b/>
          <w:bCs/>
          <w:color w:val="1B1B1B"/>
          <w:sz w:val="28"/>
          <w:szCs w:val="28"/>
          <w:rtl/>
        </w:rPr>
        <w:t>2. מטרת חוות הדעת</w:t>
      </w:r>
    </w:p>
    <w:p>
      <w:pPr>
        <w:bidi/>
        <w:spacing w:after="120" w:before="160" w:line="300" w:lineRule="auto"/>
        <w:jc w:val="right"/>
      </w:pPr>
      <w:r>
        <w:rPr>
          <w:rFonts w:ascii="David" w:hAnsi="David" w:cs="David"/>
          <w:b/>
          <w:bCs/>
          <w:color w:val="1B1B1B"/>
          <w:sz w:val="24"/>
          <w:szCs w:val="24"/>
          <w:rtl/>
        </w:rPr>
        <w:t>2.1 הסוגיות המשפטיות שנבחנות</w:t>
      </w:r>
    </w:p>
    <w:p>
      <w:pPr>
        <w:bidi/>
        <w:spacing w:after="160" w:before="0" w:line="300" w:lineRule="auto"/>
        <w:jc w:val="both"/>
      </w:pPr>
      <w:r>
        <w:rPr>
          <w:rFonts w:ascii="David" w:hAnsi="David" w:cs="David"/>
          <w:sz w:val="24"/>
          <w:szCs w:val="24"/>
          <w:rtl/>
        </w:rPr>
        <w:t>מהו המעמד המשפטי הראוי לטווח מחיר למ"ר המופק מניתוח סטטיסטי של עסקאות מכירה פומביות שנרשמו ופורסמו, וכיצד ראוי להשתמש בו: כבסיס להערכה ראשונית ולתמיכה במשא ומתן, להבדיל משימוש כראיה עצמאית בהליך משפטי או מעין שיפוטי.</w:t>
      </w:r>
    </w:p>
    <w:p>
      <w:pPr>
        <w:bidi/>
        <w:spacing w:after="120" w:before="160" w:line="300" w:lineRule="auto"/>
        <w:jc w:val="right"/>
      </w:pPr>
      <w:r>
        <w:rPr>
          <w:rFonts w:ascii="David" w:hAnsi="David" w:cs="David"/>
          <w:b/>
          <w:bCs/>
          <w:color w:val="1B1B1B"/>
          <w:sz w:val="24"/>
          <w:szCs w:val="24"/>
          <w:rtl/>
        </w:rPr>
        <w:t>2.2 השאלות המרכזיות</w:t>
      </w:r>
    </w:p>
    <w:p>
      <w:pPr>
        <w:bidi/>
        <w:spacing w:after="160" w:before="0" w:line="300" w:lineRule="auto"/>
        <w:jc w:val="both"/>
      </w:pPr>
      <w:r>
        <w:rPr>
          <w:rFonts w:ascii="David" w:hAnsi="David" w:cs="David"/>
          <w:sz w:val="24"/>
          <w:szCs w:val="24"/>
          <w:rtl/>
        </w:rPr>
        <w:t>א. האם טווח מחיר למ"ר סטטיסטי, שאינו כולל התאמה פרטנית לנכס ספציפי, יכול לשמש בסיס להחלטה מקצועית או עסקית. ב. באילו נסיבות נדרשת דווקא חוות דעת של שמאי מקרקעין מוסמך. ג. מה המשקל הראייתי הפוטנציאלי של טווח כזה, אילו הוגש כראיה בהליך.</w:t>
      </w:r>
    </w:p>
    <w:p>
      <w:pPr>
        <w:bidi/>
        <w:spacing w:after="120" w:before="280" w:line="300" w:lineRule="auto"/>
        <w:jc w:val="right"/>
      </w:pPr>
      <w:r>
        <w:rPr>
          <w:rFonts w:ascii="David" w:hAnsi="David" w:cs="David"/>
          <w:b/>
          <w:bCs/>
          <w:color w:val="1B1B1B"/>
          <w:sz w:val="28"/>
          <w:szCs w:val="28"/>
          <w:rtl/>
        </w:rPr>
        <w:t>3. המסמכים שעל בסיסם נערכה חוות הדעת</w:t>
      </w:r>
    </w:p>
    <w:tbl>
      <w:tblPr>
        <w:tblStyle w:val="TableGrid"/>
        <w:bidiVisual/>
        <w:tblW w:type="auto" w:w="0"/>
        <w:jc w:val="right"/>
        <w:tblLook w:firstColumn="1" w:firstRow="1" w:lastColumn="0" w:lastRow="0" w:noHBand="0" w:noVBand="1" w:val="04A0"/>
      </w:tblPr>
      <w:tblGrid>
        <w:gridCol w:w="4536"/>
        <w:gridCol w:w="4536"/>
      </w:tblGrid>
      <w:tr>
        <w:tc>
          <w:tcPr>
            <w:tcW w:type="dxa" w:w="4536"/>
            <w:shd w:val="clear" w:color="auto" w:fill="1B1B1B"/>
          </w:tcPr>
          <w:p>
            <w:pPr>
              <w:bidi/>
            </w:pPr>
            <w:r/>
            <w:r>
              <w:rPr>
                <w:rFonts w:ascii="David" w:hAnsi="David" w:cs="David"/>
                <w:b/>
                <w:bCs/>
                <w:color w:val="FFFFFF"/>
                <w:sz w:val="21.0"/>
                <w:szCs w:val="21.0"/>
                <w:rtl/>
              </w:rPr>
              <w:t>מסמך</w:t>
            </w:r>
          </w:p>
        </w:tc>
        <w:tc>
          <w:tcPr>
            <w:tcW w:type="dxa" w:w="4536"/>
            <w:shd w:val="clear" w:color="auto" w:fill="1B1B1B"/>
          </w:tcPr>
          <w:p>
            <w:pPr>
              <w:bidi/>
            </w:pPr>
            <w:r/>
            <w:r>
              <w:rPr>
                <w:rFonts w:ascii="David" w:hAnsi="David" w:cs="David"/>
                <w:b/>
                <w:bCs/>
                <w:color w:val="FFFFFF"/>
                <w:sz w:val="21.0"/>
                <w:szCs w:val="21.0"/>
                <w:rtl/>
              </w:rPr>
              <w:t>תיאור</w:t>
            </w:r>
          </w:p>
        </w:tc>
      </w:tr>
      <w:tr>
        <w:tc>
          <w:tcPr>
            <w:tcW w:type="dxa" w:w="4536"/>
          </w:tcPr>
          <w:p>
            <w:pPr>
              <w:bidi/>
            </w:pPr>
            <w:r/>
            <w:r>
              <w:rPr>
                <w:rFonts w:ascii="David" w:hAnsi="David" w:cs="David"/>
                <w:sz w:val="21.0"/>
                <w:szCs w:val="21.0"/>
                <w:rtl/>
              </w:rPr>
              <w:t>נתוני עסקאות מקור</w:t>
            </w:r>
          </w:p>
        </w:tc>
        <w:tc>
          <w:tcPr>
            <w:tcW w:type="dxa" w:w="4536"/>
          </w:tcPr>
          <w:p>
            <w:pPr>
              <w:bidi/>
            </w:pPr>
            <w:r/>
            <w:r>
              <w:rPr>
                <w:rFonts w:ascii="David" w:hAnsi="David" w:cs="David"/>
                <w:sz w:val="21.0"/>
                <w:szCs w:val="21.0"/>
              </w:rPr>
              <w:t>143</w:t>
            </w:r>
            <w:r>
              <w:rPr>
                <w:rFonts w:ascii="David" w:hAnsi="David" w:cs="David"/>
                <w:sz w:val="21.0"/>
                <w:szCs w:val="21.0"/>
              </w:rPr>
              <w:t xml:space="preserve"> שורות עסקה, הועתקו מ </w:t>
            </w:r>
            <w:r>
              <w:rPr>
                <w:rFonts w:ascii="David" w:hAnsi="David" w:cs="David"/>
                <w:sz w:val="21.0"/>
                <w:szCs w:val="21.0"/>
              </w:rPr>
              <w:t>nadlan.gov.il</w:t>
            </w:r>
            <w:r>
              <w:rPr>
                <w:rFonts w:ascii="David" w:hAnsi="David" w:cs="David"/>
                <w:sz w:val="21.0"/>
                <w:szCs w:val="21.0"/>
              </w:rPr>
              <w:t xml:space="preserve"> על ידי הלקוח, שכונת דיזנגוף מרכז, תל אביב יפו</w:t>
            </w:r>
          </w:p>
        </w:tc>
      </w:tr>
      <w:tr>
        <w:tc>
          <w:tcPr>
            <w:tcW w:type="dxa" w:w="4536"/>
          </w:tcPr>
          <w:p>
            <w:pPr>
              <w:bidi/>
            </w:pPr>
            <w:r/>
            <w:r>
              <w:rPr>
                <w:rFonts w:ascii="David" w:hAnsi="David" w:cs="David"/>
                <w:sz w:val="21.0"/>
                <w:szCs w:val="21.0"/>
                <w:rtl/>
              </w:rPr>
              <w:t>תיעוד המתודולוגיה</w:t>
            </w:r>
          </w:p>
        </w:tc>
        <w:tc>
          <w:tcPr>
            <w:tcW w:type="dxa" w:w="4536"/>
          </w:tcPr>
          <w:p>
            <w:pPr>
              <w:bidi/>
            </w:pPr>
            <w:r/>
            <w:r>
              <w:rPr>
                <w:rFonts w:ascii="David" w:hAnsi="David" w:cs="David"/>
                <w:sz w:val="21.0"/>
                <w:szCs w:val="21.0"/>
              </w:rPr>
              <w:t xml:space="preserve">סקיל </w:t>
            </w:r>
            <w:r>
              <w:rPr>
                <w:rFonts w:ascii="David" w:hAnsi="David" w:cs="David"/>
                <w:sz w:val="21.0"/>
                <w:szCs w:val="21.0"/>
              </w:rPr>
              <w:t>israeli-property-appraisal,</w:t>
            </w:r>
            <w:r>
              <w:rPr>
                <w:rFonts w:ascii="David" w:hAnsi="David" w:cs="David"/>
                <w:sz w:val="21.0"/>
                <w:szCs w:val="21.0"/>
              </w:rPr>
              <w:t xml:space="preserve"> סינון סוג נכס, התאמת שטח וחדרים, זיהוי חריגים</w:t>
            </w:r>
          </w:p>
        </w:tc>
      </w:tr>
      <w:tr>
        <w:tc>
          <w:tcPr>
            <w:tcW w:type="dxa" w:w="4536"/>
          </w:tcPr>
          <w:p>
            <w:pPr>
              <w:bidi/>
            </w:pPr>
            <w:r/>
            <w:r>
              <w:rPr>
                <w:rFonts w:ascii="David" w:hAnsi="David" w:cs="David"/>
                <w:sz w:val="21.0"/>
                <w:szCs w:val="21.0"/>
                <w:rtl/>
              </w:rPr>
              <w:t>תוצר הניתוח</w:t>
            </w:r>
          </w:p>
        </w:tc>
        <w:tc>
          <w:tcPr>
            <w:tcW w:type="dxa" w:w="4536"/>
          </w:tcPr>
          <w:p>
            <w:pPr>
              <w:bidi/>
            </w:pPr>
            <w:r/>
            <w:r>
              <w:rPr>
                <w:rFonts w:ascii="David" w:hAnsi="David" w:cs="David"/>
                <w:sz w:val="21.0"/>
                <w:szCs w:val="21.0"/>
              </w:rPr>
              <w:t>nituach_dizengoff_75mr.docx,</w:t>
            </w:r>
            <w:r>
              <w:rPr>
                <w:rFonts w:ascii="David" w:hAnsi="David" w:cs="David"/>
                <w:sz w:val="21.0"/>
                <w:szCs w:val="21.0"/>
              </w:rPr>
              <w:t xml:space="preserve"> ניתוח עסקאות השוואה, לא שומה</w:t>
            </w:r>
          </w:p>
        </w:tc>
      </w:tr>
    </w:tbl>
    <w:p>
      <w:pPr>
        <w:bidi/>
        <w:spacing w:after="200" w:before="0" w:line="300" w:lineRule="auto"/>
        <w:jc w:val="right"/>
      </w:pPr>
    </w:p>
    <w:p>
      <w:pPr>
        <w:bidi/>
        <w:spacing w:after="120" w:before="280" w:line="300" w:lineRule="auto"/>
        <w:jc w:val="right"/>
      </w:pPr>
      <w:r>
        <w:rPr>
          <w:rFonts w:ascii="David" w:hAnsi="David" w:cs="David"/>
          <w:b/>
          <w:bCs/>
          <w:color w:val="1B1B1B"/>
          <w:sz w:val="28"/>
          <w:szCs w:val="28"/>
          <w:rtl/>
        </w:rPr>
        <w:t>4. תיאור עובדתי</w:t>
      </w:r>
    </w:p>
    <w:p>
      <w:pPr>
        <w:bidi/>
        <w:spacing w:after="120" w:before="160" w:line="300" w:lineRule="auto"/>
        <w:jc w:val="right"/>
      </w:pPr>
      <w:r>
        <w:rPr>
          <w:rFonts w:ascii="David" w:hAnsi="David" w:cs="David"/>
          <w:b/>
          <w:bCs/>
          <w:color w:val="1B1B1B"/>
          <w:sz w:val="24"/>
          <w:szCs w:val="24"/>
          <w:rtl/>
        </w:rPr>
        <w:t>4.1 רקע והתקשרות</w:t>
      </w:r>
    </w:p>
    <w:p>
      <w:pPr>
        <w:bidi/>
        <w:spacing w:after="160" w:before="0" w:line="300" w:lineRule="auto"/>
        <w:jc w:val="both"/>
      </w:pPr>
      <w:r>
        <w:rPr>
          <w:rFonts w:ascii="David" w:hAnsi="David" w:cs="David"/>
          <w:sz w:val="24"/>
          <w:szCs w:val="24"/>
          <w:rtl/>
        </w:rPr>
        <w:t xml:space="preserve">לצורך הדגמה בלבד: דירת מגורים בת </w:t>
      </w:r>
      <w:r>
        <w:rPr>
          <w:rFonts w:ascii="David" w:hAnsi="David" w:cs="David"/>
          <w:sz w:val="24"/>
          <w:szCs w:val="24"/>
        </w:rPr>
        <w:t>75</w:t>
      </w:r>
      <w:r>
        <w:rPr>
          <w:rFonts w:ascii="David" w:hAnsi="David" w:cs="David"/>
          <w:sz w:val="24"/>
          <w:szCs w:val="24"/>
          <w:rtl/>
        </w:rPr>
        <w:t xml:space="preserve"> מ"ר, </w:t>
      </w:r>
      <w:r>
        <w:rPr>
          <w:rFonts w:ascii="David" w:hAnsi="David" w:cs="David"/>
          <w:sz w:val="24"/>
          <w:szCs w:val="24"/>
        </w:rPr>
        <w:t>3</w:t>
      </w:r>
      <w:r>
        <w:rPr>
          <w:rFonts w:ascii="David" w:hAnsi="David" w:cs="David"/>
          <w:sz w:val="24"/>
          <w:szCs w:val="24"/>
          <w:rtl/>
        </w:rPr>
        <w:t xml:space="preserve"> חדרים, באזור דיזנגוף מרכז, תל אביב יפו. בשלב זה אין צד שכנגד, תיק תלוי ועומד, או שאלה משפטית קונקרטית. פרטי התיק, ככל שיתעורר צורך אמיתי, לרבות זהות הצדדים והשאלה המשפטית הנדונה, ימולאו וחוות הדעת תעודכן בהתאם.</w:t>
      </w:r>
    </w:p>
    <w:p>
      <w:pPr>
        <w:bidi/>
        <w:spacing w:after="120" w:before="160" w:line="300" w:lineRule="auto"/>
        <w:jc w:val="right"/>
      </w:pPr>
      <w:r>
        <w:rPr>
          <w:rFonts w:ascii="David" w:hAnsi="David" w:cs="David"/>
          <w:b/>
          <w:bCs/>
          <w:color w:val="1B1B1B"/>
          <w:sz w:val="24"/>
          <w:szCs w:val="24"/>
          <w:rtl/>
        </w:rPr>
        <w:t>4.2 כרונולוגיה</w:t>
      </w:r>
    </w:p>
    <w:p>
      <w:pPr>
        <w:bidi/>
        <w:spacing w:after="160" w:before="0" w:line="300" w:lineRule="auto"/>
        <w:jc w:val="both"/>
      </w:pPr>
      <w:r>
        <w:rPr>
          <w:rFonts w:ascii="David" w:hAnsi="David" w:cs="David"/>
          <w:sz w:val="24"/>
          <w:szCs w:val="24"/>
        </w:rPr>
        <w:t xml:space="preserve">הנתונים נאספו ועובדו על ידי הח"מ בתאריך </w:t>
      </w:r>
      <w:r>
        <w:rPr>
          <w:rFonts w:ascii="David" w:hAnsi="David" w:cs="David"/>
          <w:sz w:val="24"/>
          <w:szCs w:val="24"/>
        </w:rPr>
        <w:t>04/08/2026,</w:t>
      </w:r>
      <w:r>
        <w:rPr>
          <w:rFonts w:ascii="David" w:hAnsi="David" w:cs="David"/>
          <w:sz w:val="24"/>
          <w:szCs w:val="24"/>
        </w:rPr>
        <w:t xml:space="preserve"> במסגרת בדיקת תקינות של מערכת הכנת ניתוחי השוואה מקרקעין. הניתוח המלא, כולל משפך הסינון והתוצאות, מפורט במסמך </w:t>
      </w:r>
      <w:r>
        <w:rPr>
          <w:rFonts w:ascii="David" w:hAnsi="David" w:cs="David"/>
          <w:sz w:val="24"/>
          <w:szCs w:val="24"/>
        </w:rPr>
        <w:t>nituach_dizengoff_75mr.docx</w:t>
      </w:r>
      <w:r>
        <w:rPr>
          <w:rFonts w:ascii="David" w:hAnsi="David" w:cs="David"/>
          <w:sz w:val="24"/>
          <w:szCs w:val="24"/>
        </w:rPr>
        <w:t xml:space="preserve"> שהופק באותו מועד.</w:t>
      </w:r>
    </w:p>
    <w:p>
      <w:pPr>
        <w:bidi/>
        <w:spacing w:after="120" w:before="160" w:line="300" w:lineRule="auto"/>
        <w:jc w:val="right"/>
      </w:pPr>
      <w:r>
        <w:rPr>
          <w:rFonts w:ascii="David" w:hAnsi="David" w:cs="David"/>
          <w:b/>
          <w:bCs/>
          <w:color w:val="1B1B1B"/>
          <w:sz w:val="24"/>
          <w:szCs w:val="24"/>
          <w:rtl/>
        </w:rPr>
        <w:t>4.3 טענות הצדדים</w:t>
      </w:r>
    </w:p>
    <w:p>
      <w:pPr>
        <w:bidi/>
        <w:spacing w:after="160" w:before="0" w:line="300" w:lineRule="auto"/>
        <w:jc w:val="both"/>
      </w:pPr>
      <w:r>
        <w:rPr>
          <w:rFonts w:ascii="David" w:hAnsi="David" w:cs="David"/>
          <w:sz w:val="24"/>
          <w:szCs w:val="24"/>
          <w:rtl/>
        </w:rPr>
        <w:t xml:space="preserve">אינן רלוונטיות, מסמך הדגמה כאמור בסעיף </w:t>
      </w:r>
      <w:r>
        <w:rPr>
          <w:rFonts w:ascii="David" w:hAnsi="David" w:cs="David"/>
          <w:sz w:val="24"/>
          <w:szCs w:val="24"/>
        </w:rPr>
        <w:t>4.1.</w:t>
      </w:r>
    </w:p>
    <w:p>
      <w:pPr>
        <w:bidi/>
        <w:spacing w:after="120" w:before="280" w:line="300" w:lineRule="auto"/>
        <w:jc w:val="right"/>
      </w:pPr>
      <w:r>
        <w:rPr>
          <w:rFonts w:ascii="David" w:hAnsi="David" w:cs="David"/>
          <w:b/>
          <w:bCs/>
          <w:color w:val="1B1B1B"/>
          <w:sz w:val="28"/>
          <w:szCs w:val="28"/>
          <w:rtl/>
        </w:rPr>
        <w:t>5. ניתוח משפטי</w:t>
      </w:r>
    </w:p>
    <w:p>
      <w:pPr>
        <w:bidi/>
        <w:spacing w:after="120" w:before="160" w:line="300" w:lineRule="auto"/>
        <w:jc w:val="right"/>
      </w:pPr>
      <w:r>
        <w:rPr>
          <w:rFonts w:ascii="David" w:hAnsi="David" w:cs="David"/>
          <w:b/>
          <w:bCs/>
          <w:color w:val="1B1B1B"/>
          <w:sz w:val="24"/>
          <w:szCs w:val="24"/>
          <w:rtl/>
        </w:rPr>
        <w:t>5.1 הדין החל</w:t>
      </w:r>
    </w:p>
    <w:p>
      <w:pPr>
        <w:bidi/>
        <w:spacing w:after="160" w:before="0" w:line="300" w:lineRule="auto"/>
        <w:jc w:val="both"/>
      </w:pPr>
      <w:r>
        <w:rPr>
          <w:rFonts w:ascii="David" w:hAnsi="David" w:cs="David"/>
          <w:sz w:val="24"/>
          <w:szCs w:val="24"/>
          <w:rtl/>
        </w:rPr>
        <w:t xml:space="preserve">תקן </w:t>
      </w:r>
      <w:r>
        <w:rPr>
          <w:rFonts w:ascii="David" w:hAnsi="David" w:cs="David"/>
          <w:sz w:val="24"/>
          <w:szCs w:val="24"/>
        </w:rPr>
        <w:t>19</w:t>
      </w:r>
      <w:r>
        <w:rPr>
          <w:rFonts w:ascii="David" w:hAnsi="David" w:cs="David"/>
          <w:sz w:val="24"/>
          <w:szCs w:val="24"/>
          <w:rtl/>
        </w:rPr>
        <w:t xml:space="preserve"> של המועצה לשמאי מקרקעין מחייב גישה שמרנית הן באיסוף הנתונים העובדתיים והן בשלבי הניתוח, ומטיל על השמאי לאמץ הנחות מחמירות היכן שהמידע חסר. בהתאם לעיקרון המקובל, ערכאות שיפוטיות וגופים מעין שיפוטיים (ובכלל זה ועדות ערר) מתייחסים כראיה מכרעת לעניין שווי מקרקעין לחוות דעת של שמאי מקרקעין מוסמך בלבד, להבדיל מנתון עובדתי גולמי שאינו מלווה בהתאמה מקצועית לנכס הנדון.</w:t>
      </w:r>
    </w:p>
    <w:p>
      <w:pPr>
        <w:bidi/>
        <w:spacing w:after="120" w:before="160" w:line="300" w:lineRule="auto"/>
        <w:jc w:val="right"/>
      </w:pPr>
      <w:r>
        <w:rPr>
          <w:rFonts w:ascii="David" w:hAnsi="David" w:cs="David"/>
          <w:b/>
          <w:bCs/>
          <w:color w:val="1B1B1B"/>
          <w:sz w:val="24"/>
          <w:szCs w:val="24"/>
          <w:rtl/>
        </w:rPr>
        <w:t>5.2 יישום הדין על העובדות</w:t>
      </w:r>
    </w:p>
    <w:p>
      <w:pPr>
        <w:bidi/>
        <w:spacing w:after="160" w:before="0" w:line="300" w:lineRule="auto"/>
        <w:jc w:val="both"/>
      </w:pPr>
      <w:r>
        <w:rPr>
          <w:rFonts w:ascii="David" w:hAnsi="David" w:cs="David"/>
          <w:sz w:val="24"/>
          <w:szCs w:val="24"/>
          <w:rtl/>
        </w:rPr>
        <w:t xml:space="preserve">הטווח שהופק בניתוח (חציון </w:t>
      </w:r>
      <w:r>
        <w:rPr>
          <w:rFonts w:ascii="David" w:hAnsi="David" w:cs="David"/>
          <w:sz w:val="24"/>
          <w:szCs w:val="24"/>
        </w:rPr>
        <w:t>60,241</w:t>
      </w:r>
      <w:r>
        <w:rPr>
          <w:rFonts w:ascii="David" w:hAnsi="David" w:cs="David"/>
          <w:sz w:val="24"/>
          <w:szCs w:val="24"/>
          <w:rtl/>
        </w:rPr>
        <w:t xml:space="preserve"> ש"ח למ"ר, טווח מרכזי </w:t>
      </w:r>
      <w:r>
        <w:rPr>
          <w:rFonts w:ascii="David" w:hAnsi="David" w:cs="David"/>
          <w:sz w:val="24"/>
          <w:szCs w:val="24"/>
        </w:rPr>
        <w:t>53,827</w:t>
      </w:r>
      <w:r>
        <w:rPr>
          <w:rFonts w:ascii="David" w:hAnsi="David" w:cs="David"/>
          <w:sz w:val="24"/>
          <w:szCs w:val="24"/>
          <w:rtl/>
        </w:rPr>
        <w:t xml:space="preserve"> עד </w:t>
      </w:r>
      <w:r>
        <w:rPr>
          <w:rFonts w:ascii="David" w:hAnsi="David" w:cs="David"/>
          <w:sz w:val="24"/>
          <w:szCs w:val="24"/>
        </w:rPr>
        <w:t>70,115</w:t>
      </w:r>
      <w:r>
        <w:rPr>
          <w:rFonts w:ascii="David" w:hAnsi="David" w:cs="David"/>
          <w:sz w:val="24"/>
          <w:szCs w:val="24"/>
          <w:rtl/>
        </w:rPr>
        <w:t xml:space="preserve"> ש"ח למ"ר, מבוסס על </w:t>
      </w:r>
      <w:r>
        <w:rPr>
          <w:rFonts w:ascii="David" w:hAnsi="David" w:cs="David"/>
          <w:sz w:val="24"/>
          <w:szCs w:val="24"/>
        </w:rPr>
        <w:t>109</w:t>
      </w:r>
      <w:r>
        <w:rPr>
          <w:rFonts w:ascii="David" w:hAnsi="David" w:cs="David"/>
          <w:sz w:val="24"/>
          <w:szCs w:val="24"/>
          <w:rtl/>
        </w:rPr>
        <w:t xml:space="preserve"> עסקאות לאחר סינון) הוא תוצר של מתודולוגיה שקופה ועקבית: סינון סוג נכס למגורים בלבד, התאמת שטח וחדרים לנכס הנדון, ואיתור וסימון עסקאות החשודות כשאינן משקפות ערך שוק. עם זאת, הטווח אינו כולל התאמה פרטנית לקומה, מצב הדירה, זכויות בנייה, או סוג הזכות, התאמות שרק שמאי מקרקעין מוסמך מוסמך לבצע.</w:t>
      </w:r>
    </w:p>
    <w:p>
      <w:pPr>
        <w:bidi/>
        <w:spacing w:after="120" w:before="160" w:line="300" w:lineRule="auto"/>
        <w:jc w:val="right"/>
      </w:pPr>
      <w:r>
        <w:rPr>
          <w:rFonts w:ascii="David" w:hAnsi="David" w:cs="David"/>
          <w:b/>
          <w:bCs/>
          <w:color w:val="1B1B1B"/>
          <w:sz w:val="24"/>
          <w:szCs w:val="24"/>
          <w:rtl/>
        </w:rPr>
        <w:t>5.3 ניתוח טענות נגדיות</w:t>
      </w:r>
    </w:p>
    <w:p>
      <w:pPr>
        <w:bidi/>
        <w:spacing w:after="160" w:before="0" w:line="300" w:lineRule="auto"/>
        <w:jc w:val="both"/>
      </w:pPr>
      <w:r>
        <w:rPr>
          <w:rFonts w:ascii="David" w:hAnsi="David" w:cs="David"/>
          <w:sz w:val="24"/>
          <w:szCs w:val="24"/>
          <w:rtl/>
        </w:rPr>
        <w:t xml:space="preserve">ניתן לטעון כי מדגם רחב המבוסס על </w:t>
      </w:r>
      <w:r>
        <w:rPr>
          <w:rFonts w:ascii="David" w:hAnsi="David" w:cs="David"/>
          <w:sz w:val="24"/>
          <w:szCs w:val="24"/>
        </w:rPr>
        <w:t>109</w:t>
      </w:r>
      <w:r>
        <w:rPr>
          <w:rFonts w:ascii="David" w:hAnsi="David" w:cs="David"/>
          <w:sz w:val="24"/>
          <w:szCs w:val="24"/>
          <w:rtl/>
        </w:rPr>
        <w:t xml:space="preserve"> עסקאות מייצג מהימנות סטטיסטית העולה על חוות דעת יחידה מבוססת שיקול דעת. דין הטענה להידחות: מהימנות סטטיסטית לעניין מגמת שוק כללית אינה שקולה להערכת שווי של נכס ספציפי. הליכים משפטיים וכמעט שיפוטיים דורשים דווקא את ההתאמה הפרטנית לנכס, לא את המגמה הכללית, וזו הסיבה שבעטיה המחוקק הותיר את שמאות המקרקעין למקצוע מוסדר ומורשה.</w:t>
      </w:r>
    </w:p>
    <w:p>
      <w:pPr>
        <w:bidi/>
        <w:spacing w:after="120" w:before="280" w:line="300" w:lineRule="auto"/>
        <w:jc w:val="right"/>
      </w:pPr>
      <w:r>
        <w:rPr>
          <w:rFonts w:ascii="David" w:hAnsi="David" w:cs="David"/>
          <w:b/>
          <w:bCs/>
          <w:color w:val="1B1B1B"/>
          <w:sz w:val="28"/>
          <w:szCs w:val="28"/>
          <w:rtl/>
        </w:rPr>
        <w:t>6. מסקנות</w:t>
      </w:r>
    </w:p>
    <w:p>
      <w:pPr>
        <w:bidi/>
        <w:spacing w:after="120" w:before="160" w:line="300" w:lineRule="auto"/>
        <w:jc w:val="right"/>
      </w:pPr>
      <w:r>
        <w:rPr>
          <w:rFonts w:ascii="David" w:hAnsi="David" w:cs="David"/>
          <w:b/>
          <w:bCs/>
          <w:color w:val="1B1B1B"/>
          <w:sz w:val="24"/>
          <w:szCs w:val="24"/>
          <w:rtl/>
        </w:rPr>
        <w:t>6.1 מסקנות ביניים</w:t>
      </w:r>
    </w:p>
    <w:p>
      <w:pPr>
        <w:bidi/>
        <w:spacing w:after="160" w:before="0" w:line="300" w:lineRule="auto"/>
        <w:jc w:val="both"/>
      </w:pPr>
      <w:r>
        <w:rPr>
          <w:rFonts w:ascii="David" w:hAnsi="David" w:cs="David"/>
          <w:sz w:val="24"/>
          <w:szCs w:val="24"/>
          <w:rtl/>
        </w:rPr>
        <w:t>הטווח שהופק מהימן ושקוף מבחינה מתודולוגית, ומתאים לשמש בסיס להערכה ראשונית ולתמיכה במשא ומתן טרם הזמנת שומה.</w:t>
      </w:r>
    </w:p>
    <w:p>
      <w:pPr>
        <w:bidi/>
        <w:spacing w:after="120" w:before="160" w:line="300" w:lineRule="auto"/>
        <w:jc w:val="right"/>
      </w:pPr>
      <w:r>
        <w:rPr>
          <w:rFonts w:ascii="David" w:hAnsi="David" w:cs="David"/>
          <w:b/>
          <w:bCs/>
          <w:color w:val="1B1B1B"/>
          <w:sz w:val="24"/>
          <w:szCs w:val="24"/>
          <w:rtl/>
        </w:rPr>
        <w:t>6.2 מסקנה אופרטיבית</w:t>
      </w:r>
    </w:p>
    <w:p>
      <w:pPr>
        <w:bidi/>
        <w:spacing w:after="200" w:before="0" w:line="300" w:lineRule="auto"/>
        <w:jc w:val="both"/>
      </w:pPr>
      <w:r>
        <w:rPr>
          <w:rFonts w:ascii="David" w:hAnsi="David" w:cs="David"/>
          <w:b/>
          <w:bCs/>
          <w:color w:val="800020"/>
          <w:sz w:val="24"/>
          <w:szCs w:val="24"/>
          <w:rtl/>
        </w:rPr>
        <w:t>אין להציג טווח מחיר למ"ר שהופק מניתוח עסקאות השוואה כראיה עצמאית בהליך משפטי או מעין שיפוטי, ואין לו מעמד שווה לשומת מקרקעין. במקרה שהעניין יתקדם להליך פורמלי, ובכלל זה ערר על שומת בנק, השגה על היטל השבחה, או הליך משפטי, יש להזמין חוות דעת של שמאי מקרקעין מוסמך.</w:t>
      </w:r>
    </w:p>
    <w:p>
      <w:pPr>
        <w:bidi/>
        <w:spacing w:after="120" w:before="160" w:line="300" w:lineRule="auto"/>
        <w:jc w:val="right"/>
      </w:pPr>
      <w:r>
        <w:rPr>
          <w:rFonts w:ascii="David" w:hAnsi="David" w:cs="David"/>
          <w:b/>
          <w:bCs/>
          <w:color w:val="1B1B1B"/>
          <w:sz w:val="24"/>
          <w:szCs w:val="24"/>
          <w:rtl/>
        </w:rPr>
        <w:t>6.3 המלצות</w:t>
      </w:r>
    </w:p>
    <w:p>
      <w:pPr>
        <w:bidi/>
        <w:spacing w:after="160" w:before="0" w:line="300" w:lineRule="auto"/>
        <w:jc w:val="both"/>
      </w:pPr>
      <w:r>
        <w:rPr>
          <w:rFonts w:ascii="David" w:hAnsi="David" w:cs="David"/>
          <w:sz w:val="24"/>
          <w:szCs w:val="24"/>
          <w:rtl/>
        </w:rPr>
        <w:t>(א) להשתמש בטווח שהופק למשא ומתן ראשוני ולגיבוש עמדה מקדמית בלבד. (ב) להזמין שמאי מקרקעין מוסמך לפני כל הליך פורמלי מול בנק, ועדת ערר, או בית משפט. (ג) עם היוודע פרטי הצדדים והשאלה המשפטית הקונקרטית, לעדכן חוות דעת זו בהתאם.</w:t>
      </w:r>
    </w:p>
    <w:p>
      <w:pPr>
        <w:bidi/>
        <w:spacing w:after="400" w:before="0" w:line="300" w:lineRule="auto"/>
        <w:jc w:val="right"/>
      </w:pPr>
    </w:p>
    <w:p>
      <w:pPr>
        <w:pBdr>
          <w:top w:val="single" w:sz="6" w:space="8" w:color="D4AF37"/>
        </w:pBdr>
        <w:bidi/>
        <w:spacing w:after="40" w:before="0" w:line="300" w:lineRule="auto"/>
        <w:jc w:val="right"/>
      </w:pPr>
      <w:r>
        <w:rPr>
          <w:rFonts w:ascii="David" w:hAnsi="David" w:cs="David"/>
          <w:sz w:val="24"/>
          <w:szCs w:val="24"/>
          <w:rtl/>
        </w:rPr>
        <w:t>בכבוד רב,</w:t>
      </w:r>
    </w:p>
    <w:p>
      <w:pPr>
        <w:bidi/>
        <w:spacing w:after="40" w:before="0" w:line="300" w:lineRule="auto"/>
        <w:jc w:val="right"/>
      </w:pPr>
      <w:r>
        <w:rPr>
          <w:rFonts w:ascii="David" w:hAnsi="David" w:cs="David"/>
          <w:b/>
          <w:bCs/>
          <w:sz w:val="24"/>
          <w:szCs w:val="24"/>
          <w:rtl/>
        </w:rPr>
        <w:t>עו"ד אברהם ללום</w:t>
      </w:r>
    </w:p>
    <w:p>
      <w:pPr>
        <w:bidi/>
        <w:spacing w:after="0" w:before="0" w:line="300" w:lineRule="auto"/>
        <w:jc w:val="right"/>
      </w:pPr>
      <w:r>
        <w:rPr>
          <w:rFonts w:ascii="David" w:hAnsi="David" w:cs="David"/>
          <w:sz w:val="22"/>
          <w:szCs w:val="22"/>
        </w:rPr>
        <w:t>LALUM,</w:t>
      </w:r>
      <w:r>
        <w:rPr>
          <w:rFonts w:ascii="David" w:hAnsi="David" w:cs="David"/>
          <w:sz w:val="22"/>
          <w:szCs w:val="22"/>
        </w:rPr>
        <w:t xml:space="preserve"> משפט, מקרקעין, בינה מלאכותית</w:t>
      </w:r>
    </w:p>
    <w:sectPr w:rsidR="00FC693F" w:rsidRPr="0006063C" w:rsidSect="00034616">
      <w:headerReference w:type="default" r:id="rId9"/>
      <w:footerReference w:type="default" r:id="rId10"/>
      <w:pgSz w:w="11906" w:h="16838"/>
      <w:pgMar w:top="1814"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David" w:hAnsi="David" w:cs="David"/>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center"/>
    </w:pPr>
    <w:r/>
    <w:r>
      <w:rPr>
        <w:rFonts w:ascii="David" w:hAnsi="David" w:cs="David"/>
        <w:b/>
        <w:bCs/>
        <w:color w:val="1B1B1B"/>
        <w:sz w:val="20"/>
        <w:szCs w:val="20"/>
      </w:rPr>
      <w:t xml:space="preserve">עו"ד אברהם ללום, </w:t>
    </w:r>
    <w:r>
      <w:rPr>
        <w:rFonts w:ascii="David" w:hAnsi="David" w:cs="David"/>
        <w:b/>
        <w:bCs/>
        <w:color w:val="1B1B1B"/>
        <w:sz w:val="20"/>
        <w:szCs w:val="20"/>
      </w:rPr>
      <w:t>Ph.D.c</w:t>
    </w:r>
  </w:p>
  <w:p>
    <w:pPr>
      <w:bidi/>
      <w:spacing w:after="40"/>
      <w:jc w:val="center"/>
      <w:pBdr>
        <w:bottom w:val="single" w:sz="6" w:space="4" w:color="D4AF37"/>
      </w:pBdr>
    </w:pPr>
    <w:r>
      <w:rPr>
        <w:rFonts w:ascii="David" w:hAnsi="David" w:cs="David"/>
        <w:color w:val="4A4A4A"/>
        <w:sz w:val="18"/>
        <w:szCs w:val="18"/>
      </w:rPr>
      <w:t>LALUM HQ,</w:t>
    </w:r>
    <w:r>
      <w:rPr>
        <w:rFonts w:ascii="David" w:hAnsi="David" w:cs="David"/>
        <w:color w:val="4A4A4A"/>
        <w:sz w:val="18"/>
        <w:szCs w:val="18"/>
      </w:rPr>
      <w:t xml:space="preserve"> משפט, מקרקעין, בינה מלאכותית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David" w:hAnsi="David"/>
      <w:sz w:val="24"/>
      <w:rFonts w:ascii="David" w:hAnsi="David" w:cs="David"/>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