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Workshop proposal</w:t>
      </w:r>
    </w:p>
    <w:p>
      <w:pPr>
        <w:pStyle w:val="Title"/>
      </w:pPr>
      <w:r>
        <w:t xml:space="preserve">Business Writing Essentials</w:t>
      </w:r>
    </w:p>
    <w:p>
      <w:pPr>
        <w:pStyle w:val="Subtitle"/>
      </w:pPr>
      <w:r>
        <w:t xml:space="preserve">A half-day workshop for teams that need their emails, reports and proposals to be read, decided on and acted upon.</w:t>
      </w:r>
    </w:p>
    <w:p>
      <w:pPr>
        <w:pStyle w:val="Meta"/>
      </w:pPr>
      <w:r>
        <w:rPr>
          <w:b/>
          <w:bCs/>
          <w:color w:val="14213D"/>
        </w:rPr>
        <w:t xml:space="preserve">Prepared for: </w:t>
      </w:r>
      <w:r>
        <w:t xml:space="preserve">Harbourview Consulting Group, Halifax, NS</w:t>
      </w:r>
    </w:p>
    <w:p>
      <w:pPr>
        <w:pStyle w:val="Meta"/>
      </w:pPr>
      <w:r>
        <w:rPr>
          <w:b/>
          <w:bCs/>
          <w:color w:val="14213D"/>
        </w:rPr>
        <w:t xml:space="preserve">Prepared by: </w:t>
      </w:r>
      <w:r>
        <w:t xml:space="preserve">Dr. Elena Marsh, Founder, Northlight Learning Studio</w:t>
      </w:r>
    </w:p>
    <w:p>
      <w:pPr>
        <w:pStyle w:val="Meta"/>
      </w:pPr>
      <w:r>
        <w:rPr>
          <w:b/>
          <w:bCs/>
          <w:color w:val="14213D"/>
        </w:rPr>
        <w:t xml:space="preserve">Date: </w:t>
      </w:r>
      <w:r>
        <w:t xml:space="preserve">8 October 2026</w:t>
      </w:r>
    </w:p>
    <w:p>
      <w:pPr>
        <w:pStyle w:val="Meta"/>
      </w:pPr>
      <w:r>
        <w:rPr>
          <w:b/>
          <w:bCs/>
          <w:color w:val="14213D"/>
        </w:rPr>
        <w:t xml:space="preserve">Version: </w:t>
      </w:r>
      <w:r>
        <w:t xml:space="preserve">1.0, valid for 30 days</w:t>
      </w:r>
    </w:p>
    <w:p>
      <w:pPr>
        <w:spacing w:after="240"/>
      </w:pPr>
    </w:p>
    <w:tbl>
      <w:tblPr>
        <w:tblW w:type="dxa" w:w="9360"/>
        <w:tblBorders>
          <w:top w:val="single" w:color="E6E1D6" w:sz="4"/>
          <w:left w:val="single" w:color="E6E1D6" w:sz="4"/>
          <w:bottom w:val="single" w:color="E6E1D6" w:sz="4"/>
          <w:right w:val="single" w:color="E6E1D6" w:sz="4"/>
          <w:insideH w:val="single" w:color="E6E1D6" w:sz="4"/>
          <w:insideV w:val="single" w:color="E6E1D6" w:sz="4"/>
        </w:tblBorders>
        <w:tblLayout w:type="fixed"/>
      </w:tblPr>
      <w:tblGrid>
        <w:gridCol w:w="9360"/>
      </w:tblGrid>
      <w:tr>
        <w:tc>
          <w:tcPr>
            <w:tcW w:type="dxa" w:w="9360"/>
            <w:shd w:fill="FBF7F0" w:color="auto" w:val="clear"/>
            <w:tcMar>
              <w:top w:type="dxa" w:w="160"/>
              <w:left w:type="dxa" w:w="220"/>
              <w:bottom w:type="dxa" w:w="160"/>
              <w:right w:type="dxa" w:w="220"/>
            </w:tcMar>
          </w:tcPr>
          <w:p>
            <w:pPr>
              <w:spacing w:after="100" w:line="300"/>
            </w:pPr>
            <w:r>
              <w:rPr>
                <w:b/>
                <w:bCs/>
                <w:color w:val="14213D"/>
                <w:sz w:val="22"/>
                <w:szCs w:val="22"/>
              </w:rPr>
              <w:t xml:space="preserve">Summary</w:t>
            </w:r>
          </w:p>
          <w:p>
            <w:pPr>
              <w:spacing w:after="0" w:line="300"/>
            </w:pPr>
            <w:r>
              <w:rPr>
                <w:b w:val="false"/>
                <w:bCs w:val="false"/>
                <w:color w:val="1F2933"/>
                <w:sz w:val="21"/>
                <w:szCs w:val="21"/>
              </w:rPr>
              <w:t xml:space="preserve">Harbourview's consulting team writes to clients every day, and the quality of that writing shapes how the firm is judged. This proposal sets out a half-day workshop for up to 16 consultants that teaches one repeatable structure for emails, reports and proposals, practised on the team's own documents. The investment is CAD 1,200 for the session, with a follow-up review four weeks later included.</w:t>
            </w:r>
          </w:p>
        </w:tc>
      </w:tr>
    </w:tbl>
    <w:p>
      <w:pPr>
        <w:spacing w:after="240"/>
      </w:pPr>
    </w:p>
    <w:p>
      <w:pPr>
        <w:pStyle w:val="ContentsHeading"/>
      </w:pPr>
      <w:r>
        <w:t xml:space="preserve">Contents</w:t>
      </w:r>
    </w:p>
    <w:p>
      <w:pPr>
        <w:tabs>
          <w:tab w:val="right" w:leader="dot" w:pos="9350"/>
        </w:tabs>
        <w:spacing w:before="100" w:after="30" w:line="276" w:lineRule="auto"/>
        <w:ind w:left="0"/>
      </w:pPr>
      <w:r>
        <w:rPr>
          <w:b/>
          <w:color w:val="14213D"/>
          <w:sz w:val="22"/>
        </w:rPr>
        <w:t xml:space="preserve">1. Overview</w:t>
      </w:r>
      <w:r>
        <w:rPr>
          <w:color w:val="6B7280"/>
          <w:sz w:val="21"/>
        </w:rPr>
        <w:tab/>
      </w:r>
      <w:r>
        <w:rPr>
          <w:color w:val="1F2933"/>
          <w:sz w:val="21"/>
        </w:rPr>
        <w:t>2</w:t>
      </w:r>
    </w:p>
    <w:p>
      <w:pPr>
        <w:tabs>
          <w:tab w:val="right" w:leader="dot" w:pos="9350"/>
        </w:tabs>
        <w:spacing w:before="100" w:after="30" w:line="276" w:lineRule="auto"/>
        <w:ind w:left="0"/>
      </w:pPr>
      <w:r>
        <w:rPr>
          <w:b/>
          <w:color w:val="14213D"/>
          <w:sz w:val="22"/>
        </w:rPr>
        <w:t xml:space="preserve">2. Objectives</w:t>
      </w:r>
      <w:r>
        <w:rPr>
          <w:color w:val="6B7280"/>
          <w:sz w:val="21"/>
        </w:rPr>
        <w:tab/>
      </w:r>
      <w:r>
        <w:rPr>
          <w:color w:val="1F2933"/>
          <w:sz w:val="21"/>
        </w:rPr>
        <w:t>2</w:t>
      </w:r>
    </w:p>
    <w:p>
      <w:pPr>
        <w:tabs>
          <w:tab w:val="right" w:leader="dot" w:pos="9350"/>
        </w:tabs>
        <w:spacing w:before="100" w:after="30" w:line="276" w:lineRule="auto"/>
        <w:ind w:left="0"/>
      </w:pPr>
      <w:r>
        <w:rPr>
          <w:b/>
          <w:color w:val="14213D"/>
          <w:sz w:val="22"/>
        </w:rPr>
        <w:t xml:space="preserve">3. Programme</w:t>
      </w:r>
      <w:r>
        <w:rPr>
          <w:color w:val="6B7280"/>
          <w:sz w:val="21"/>
        </w:rPr>
        <w:tab/>
      </w:r>
      <w:r>
        <w:rPr>
          <w:color w:val="1F2933"/>
          <w:sz w:val="21"/>
        </w:rPr>
        <w:t>2</w:t>
      </w:r>
    </w:p>
    <w:p>
      <w:pPr>
        <w:tabs>
          <w:tab w:val="right" w:leader="dot" w:pos="9350"/>
        </w:tabs>
        <w:spacing w:before="30" w:after="30" w:line="276" w:lineRule="auto"/>
        <w:ind w:left="360"/>
      </w:pPr>
      <w:r>
        <w:rPr>
          <w:color w:val="1F2933"/>
          <w:sz w:val="21"/>
        </w:rPr>
        <w:t xml:space="preserve">3.1 Format</w:t>
      </w:r>
      <w:r>
        <w:rPr>
          <w:color w:val="6B7280"/>
          <w:sz w:val="21"/>
        </w:rPr>
        <w:tab/>
      </w:r>
      <w:r>
        <w:rPr>
          <w:color w:val="1F2933"/>
          <w:sz w:val="21"/>
        </w:rPr>
        <w:t>2</w:t>
      </w:r>
    </w:p>
    <w:p>
      <w:pPr>
        <w:tabs>
          <w:tab w:val="right" w:leader="dot" w:pos="9350"/>
        </w:tabs>
        <w:spacing w:before="30" w:after="30" w:line="276" w:lineRule="auto"/>
        <w:ind w:left="360"/>
      </w:pPr>
      <w:r>
        <w:rPr>
          <w:color w:val="1F2933"/>
          <w:sz w:val="21"/>
        </w:rPr>
        <w:t xml:space="preserve">3.2 Agenda</w:t>
      </w:r>
      <w:r>
        <w:rPr>
          <w:color w:val="6B7280"/>
          <w:sz w:val="21"/>
        </w:rPr>
        <w:tab/>
      </w:r>
      <w:r>
        <w:rPr>
          <w:color w:val="1F2933"/>
          <w:sz w:val="21"/>
        </w:rPr>
        <w:t>2</w:t>
      </w:r>
    </w:p>
    <w:p>
      <w:pPr>
        <w:tabs>
          <w:tab w:val="right" w:leader="dot" w:pos="9350"/>
        </w:tabs>
        <w:spacing w:before="30" w:after="30" w:line="276" w:lineRule="auto"/>
        <w:ind w:left="360"/>
      </w:pPr>
      <w:r>
        <w:rPr>
          <w:color w:val="1F2933"/>
          <w:sz w:val="21"/>
        </w:rPr>
        <w:t xml:space="preserve">3.3 What participants leave with</w:t>
      </w:r>
      <w:r>
        <w:rPr>
          <w:color w:val="6B7280"/>
          <w:sz w:val="21"/>
        </w:rPr>
        <w:tab/>
      </w:r>
      <w:r>
        <w:rPr>
          <w:color w:val="1F2933"/>
          <w:sz w:val="21"/>
        </w:rPr>
        <w:t>3</w:t>
      </w:r>
    </w:p>
    <w:p>
      <w:pPr>
        <w:tabs>
          <w:tab w:val="right" w:leader="dot" w:pos="9350"/>
        </w:tabs>
        <w:spacing w:before="100" w:after="30" w:line="276" w:lineRule="auto"/>
        <w:ind w:left="0"/>
      </w:pPr>
      <w:r>
        <w:rPr>
          <w:b/>
          <w:color w:val="14213D"/>
          <w:sz w:val="22"/>
        </w:rPr>
        <w:t xml:space="preserve">4. Investment and logistics</w:t>
      </w:r>
      <w:r>
        <w:rPr>
          <w:color w:val="6B7280"/>
          <w:sz w:val="21"/>
        </w:rPr>
        <w:tab/>
      </w:r>
      <w:r>
        <w:rPr>
          <w:color w:val="1F2933"/>
          <w:sz w:val="21"/>
        </w:rPr>
        <w:t>3</w:t>
      </w:r>
    </w:p>
    <w:p>
      <w:pPr>
        <w:tabs>
          <w:tab w:val="right" w:leader="dot" w:pos="9350"/>
        </w:tabs>
        <w:spacing w:before="100" w:after="30" w:line="276" w:lineRule="auto"/>
        <w:ind w:left="0"/>
      </w:pPr>
      <w:r>
        <w:rPr>
          <w:b/>
          <w:color w:val="14213D"/>
          <w:sz w:val="22"/>
        </w:rPr>
        <w:t xml:space="preserve">5. About the facilitator</w:t>
      </w:r>
      <w:r>
        <w:rPr>
          <w:color w:val="6B7280"/>
          <w:sz w:val="21"/>
        </w:rPr>
        <w:tab/>
      </w:r>
      <w:r>
        <w:rPr>
          <w:color w:val="1F2933"/>
          <w:sz w:val="21"/>
        </w:rPr>
        <w:t>3</w:t>
      </w:r>
    </w:p>
    <w:p>
      <w:pPr>
        <w:tabs>
          <w:tab w:val="right" w:leader="dot" w:pos="9350"/>
        </w:tabs>
        <w:spacing w:before="100" w:after="30" w:line="276" w:lineRule="auto"/>
        <w:ind w:left="0"/>
      </w:pPr>
      <w:r>
        <w:rPr>
          <w:b/>
          <w:color w:val="14213D"/>
          <w:sz w:val="22"/>
        </w:rPr>
        <w:t xml:space="preserve">6. Next steps</w:t>
      </w:r>
      <w:r>
        <w:rPr>
          <w:color w:val="6B7280"/>
          <w:sz w:val="21"/>
        </w:rPr>
        <w:tab/>
      </w:r>
      <w:r>
        <w:rPr>
          <w:color w:val="1F2933"/>
          <w:sz w:val="21"/>
        </w:rPr>
        <w:t>4</w:t>
      </w:r>
    </w:p>
    <w:p>
      <w:r>
        <w:br w:type="page"/>
      </w:r>
    </w:p>
    <w:p>
      <w:pPr>
        <w:pStyle w:val="Heading1"/>
      </w:pPr>
      <w:bookmarkStart w:name="_Toc1" w:id="1"/>
      <w:r>
        <w:t xml:space="preserve">1. Overview</w:t>
      </w:r>
      <w:bookmarkEnd w:id="1"/>
    </w:p>
    <w:p>
      <w:pPr>
        <w:spacing w:after="140" w:line="300"/>
      </w:pPr>
      <w:r>
        <w:t xml:space="preserve">Most workplace writing fails for one of three reasons: the point arrives too late, the reader has to work too hard, or the next step is unclear. In a consulting firm those failures are expensive. Proposals are skimmed rather than read, recommendations are questioned because they were buried, and follow-up emails go unanswered because nobody could see what was being asked.</w:t>
      </w:r>
    </w:p>
    <w:p>
      <w:pPr>
        <w:spacing w:after="140" w:line="300"/>
      </w:pPr>
      <w:r>
        <w:t xml:space="preserve">Business Writing Essentials is a practical half-day session built around a single structure that fixes all three problems. Participants do not sit through a lecture on grammar. They bring real documents, rewrite them in the room and leave with something they can send the same afternoon.</w:t>
      </w:r>
    </w:p>
    <w:p>
      <w:pPr>
        <w:spacing w:after="140" w:line="300"/>
      </w:pPr>
      <w:r>
        <w:t xml:space="preserve">The programme was developed over twelve years of teaching business communication at university level and has been delivered to teams in professional services, education and the public sector.</w:t>
      </w:r>
    </w:p>
    <w:p>
      <w:pPr>
        <w:pStyle w:val="Heading1"/>
      </w:pPr>
      <w:bookmarkStart w:name="_Toc2" w:id="2"/>
      <w:r>
        <w:t xml:space="preserve">2. Objectives</w:t>
      </w:r>
      <w:bookmarkEnd w:id="2"/>
    </w:p>
    <w:p>
      <w:pPr>
        <w:spacing w:after="140" w:line="300"/>
      </w:pPr>
      <w:r>
        <w:t xml:space="preserve">By the end of the workshop every participant will be able to:</w:t>
      </w:r>
    </w:p>
    <w:p>
      <w:pPr>
        <w:pStyle w:val="ListParagraph"/>
        <w:numPr>
          <w:ilvl w:val="0"/>
          <w:numId w:val="2"/>
        </w:numPr>
        <w:spacing w:after="80" w:line="300"/>
      </w:pPr>
      <w:r>
        <w:t xml:space="preserve">Open any email, report or proposal with the decision or request the reader needs to see first.</w:t>
      </w:r>
    </w:p>
    <w:p>
      <w:pPr>
        <w:pStyle w:val="ListParagraph"/>
        <w:numPr>
          <w:ilvl w:val="0"/>
          <w:numId w:val="2"/>
        </w:numPr>
        <w:spacing w:after="80" w:line="300"/>
      </w:pPr>
      <w:r>
        <w:t xml:space="preserve">Cut a draft by a third without losing meaning, using a five-point editing checklist.</w:t>
      </w:r>
    </w:p>
    <w:p>
      <w:pPr>
        <w:pStyle w:val="ListParagraph"/>
        <w:numPr>
          <w:ilvl w:val="0"/>
          <w:numId w:val="2"/>
        </w:numPr>
        <w:spacing w:after="80" w:line="300"/>
      </w:pPr>
      <w:r>
        <w:t xml:space="preserve">Close every document with a clear next step, owner and date.</w:t>
      </w:r>
    </w:p>
    <w:p>
      <w:pPr>
        <w:pStyle w:val="ListParagraph"/>
        <w:numPr>
          <w:ilvl w:val="0"/>
          <w:numId w:val="2"/>
        </w:numPr>
        <w:spacing w:after="80" w:line="300"/>
      </w:pPr>
      <w:r>
        <w:t xml:space="preserve">Review a colleague's draft in under five minutes using a shared standard.</w:t>
      </w:r>
    </w:p>
    <w:p>
      <w:pPr>
        <w:pStyle w:val="Heading1"/>
      </w:pPr>
      <w:bookmarkStart w:name="_Toc3" w:id="3"/>
      <w:r>
        <w:t xml:space="preserve">3. Programme</w:t>
      </w:r>
      <w:bookmarkEnd w:id="3"/>
    </w:p>
    <w:p>
      <w:pPr>
        <w:pStyle w:val="Heading2"/>
      </w:pPr>
      <w:bookmarkStart w:name="_Toc4" w:id="4"/>
      <w:r>
        <w:t xml:space="preserve">3.1 Format</w:t>
      </w:r>
      <w:bookmarkEnd w:id="4"/>
    </w:p>
    <w:p>
      <w:pPr>
        <w:spacing w:after="140" w:line="300"/>
      </w:pPr>
      <w:r>
        <w:t xml:space="preserve">The session runs for three and a half hours, online or on-site at Harbourview's Halifax office. It combines short demonstrations with timed rewriting exercises, and every exercise uses documents the participants bring with them. A pre-workshop survey and a one-page preparation note are sent one week before the session.</w:t>
      </w:r>
    </w:p>
    <w:p>
      <w:pPr>
        <w:pStyle w:val="Heading2"/>
      </w:pPr>
      <w:bookmarkStart w:name="_Toc5" w:id="5"/>
      <w:r>
        <w:t xml:space="preserve">3.2 Agenda</w:t>
      </w:r>
      <w:bookmarkEnd w:id="5"/>
    </w:p>
    <w:tbl>
      <w:tblPr>
        <w:tblW w:type="dxa" w:w="9360"/>
        <w:tblBorders>
          <w:top w:val="single" w:color="E6E1D6" w:sz="4"/>
          <w:left w:val="single" w:color="E6E1D6" w:sz="4"/>
          <w:bottom w:val="single" w:color="E6E1D6" w:sz="4"/>
          <w:right w:val="single" w:color="E6E1D6" w:sz="4"/>
          <w:insideH w:val="single" w:color="E6E1D6" w:sz="4"/>
          <w:insideV w:val="single" w:color="E6E1D6" w:sz="4"/>
        </w:tblBorders>
        <w:tblLayout w:type="fixed"/>
      </w:tblPr>
      <w:tblGrid>
        <w:gridCol w:w="1300"/>
        <w:gridCol w:w="2700"/>
        <w:gridCol w:w="5360"/>
      </w:tblGrid>
      <w:tr>
        <w:trPr>
          <w:tblHeader/>
        </w:trPr>
        <w:tc>
          <w:tcPr>
            <w:tcW w:type="dxa" w:w="1300"/>
            <w:shd w:fill="14213D" w:color="auto" w:val="clear"/>
            <w:tcMar>
              <w:top w:type="dxa" w:w="90"/>
              <w:left w:type="dxa" w:w="140"/>
              <w:bottom w:type="dxa" w:w="90"/>
              <w:right w:type="dxa" w:w="140"/>
            </w:tcMar>
            <w:vAlign w:val="center"/>
          </w:tcPr>
          <w:p>
            <w:pPr>
              <w:spacing w:after="0" w:line="276"/>
              <w:jc w:val="left"/>
            </w:pPr>
            <w:r>
              <w:rPr>
                <w:b/>
                <w:bCs/>
                <w:color w:val="FFFFFF"/>
                <w:sz w:val="21"/>
                <w:szCs w:val="21"/>
              </w:rPr>
              <w:t xml:space="preserve">Time</w:t>
            </w:r>
          </w:p>
        </w:tc>
        <w:tc>
          <w:tcPr>
            <w:tcW w:type="dxa" w:w="2700"/>
            <w:shd w:fill="14213D" w:color="auto" w:val="clear"/>
            <w:tcMar>
              <w:top w:type="dxa" w:w="90"/>
              <w:left w:type="dxa" w:w="140"/>
              <w:bottom w:type="dxa" w:w="90"/>
              <w:right w:type="dxa" w:w="140"/>
            </w:tcMar>
            <w:vAlign w:val="center"/>
          </w:tcPr>
          <w:p>
            <w:pPr>
              <w:spacing w:after="0" w:line="276"/>
              <w:jc w:val="left"/>
            </w:pPr>
            <w:r>
              <w:rPr>
                <w:b/>
                <w:bCs/>
                <w:color w:val="FFFFFF"/>
                <w:sz w:val="21"/>
                <w:szCs w:val="21"/>
              </w:rPr>
              <w:t xml:space="preserve">Module</w:t>
            </w:r>
          </w:p>
        </w:tc>
        <w:tc>
          <w:tcPr>
            <w:tcW w:type="dxa" w:w="5360"/>
            <w:shd w:fill="14213D" w:color="auto" w:val="clear"/>
            <w:tcMar>
              <w:top w:type="dxa" w:w="90"/>
              <w:left w:type="dxa" w:w="140"/>
              <w:bottom w:type="dxa" w:w="90"/>
              <w:right w:type="dxa" w:w="140"/>
            </w:tcMar>
            <w:vAlign w:val="center"/>
          </w:tcPr>
          <w:p>
            <w:pPr>
              <w:spacing w:after="0" w:line="276"/>
              <w:jc w:val="left"/>
            </w:pPr>
            <w:r>
              <w:rPr>
                <w:b/>
                <w:bCs/>
                <w:color w:val="FFFFFF"/>
                <w:sz w:val="21"/>
                <w:szCs w:val="21"/>
              </w:rPr>
              <w:t xml:space="preserve">What participants practise</w:t>
            </w:r>
          </w:p>
        </w:tc>
      </w:tr>
      <w:tr>
        <w:trPr>
          <w:tblHeader w:val="off"/>
        </w:trPr>
        <w:tc>
          <w:tcPr>
            <w:tcW w:type="dxa" w:w="1300"/>
            <w:tcMar>
              <w:top w:type="dxa" w:w="90"/>
              <w:left w:type="dxa" w:w="140"/>
              <w:bottom w:type="dxa" w:w="90"/>
              <w:right w:type="dxa" w:w="140"/>
            </w:tcMar>
            <w:vAlign w:val="center"/>
          </w:tcPr>
          <w:p>
            <w:pPr>
              <w:spacing w:after="0" w:line="276"/>
              <w:jc w:val="left"/>
            </w:pPr>
            <w:r>
              <w:rPr>
                <w:b/>
                <w:bCs/>
                <w:color w:val="14213D"/>
                <w:sz w:val="21"/>
                <w:szCs w:val="21"/>
              </w:rPr>
              <w:t xml:space="preserve">9:00</w:t>
            </w:r>
          </w:p>
        </w:tc>
        <w:tc>
          <w:tcPr>
            <w:tcW w:type="dxa" w:w="2700"/>
            <w:tcMar>
              <w:top w:type="dxa" w:w="90"/>
              <w:left w:type="dxa" w:w="140"/>
              <w:bottom w:type="dxa" w:w="90"/>
              <w:right w:type="dxa" w:w="140"/>
            </w:tcMar>
            <w:vAlign w:val="center"/>
          </w:tcPr>
          <w:p>
            <w:pPr>
              <w:spacing w:after="0" w:line="276"/>
              <w:jc w:val="left"/>
            </w:pPr>
            <w:r>
              <w:rPr>
                <w:b w:val="false"/>
                <w:bCs w:val="false"/>
                <w:color w:val="1F2933"/>
                <w:sz w:val="21"/>
                <w:szCs w:val="21"/>
              </w:rPr>
              <w:t xml:space="preserve">Start with the point</w:t>
            </w:r>
          </w:p>
        </w:tc>
        <w:tc>
          <w:tcPr>
            <w:tcW w:type="dxa" w:w="5360"/>
            <w:tcMar>
              <w:top w:type="dxa" w:w="90"/>
              <w:left w:type="dxa" w:w="140"/>
              <w:bottom w:type="dxa" w:w="90"/>
              <w:right w:type="dxa" w:w="140"/>
            </w:tcMar>
            <w:vAlign w:val="center"/>
          </w:tcPr>
          <w:p>
            <w:pPr>
              <w:spacing w:after="0" w:line="276"/>
              <w:jc w:val="left"/>
            </w:pPr>
            <w:r>
              <w:rPr>
                <w:b w:val="false"/>
                <w:bCs w:val="false"/>
                <w:color w:val="1F2933"/>
                <w:sz w:val="21"/>
                <w:szCs w:val="21"/>
              </w:rPr>
              <w:t xml:space="preserve">Rewriting real emails so the decision or request comes first</w:t>
            </w:r>
          </w:p>
        </w:tc>
      </w:tr>
      <w:tr>
        <w:trPr>
          <w:tblHeader w:val="off"/>
        </w:trPr>
        <w:tc>
          <w:tcPr>
            <w:tcW w:type="dxa" w:w="1300"/>
            <w:shd w:fill="FBF7F0" w:color="auto" w:val="clear"/>
            <w:tcMar>
              <w:top w:type="dxa" w:w="90"/>
              <w:left w:type="dxa" w:w="140"/>
              <w:bottom w:type="dxa" w:w="90"/>
              <w:right w:type="dxa" w:w="140"/>
            </w:tcMar>
            <w:vAlign w:val="center"/>
          </w:tcPr>
          <w:p>
            <w:pPr>
              <w:spacing w:after="0" w:line="276"/>
              <w:jc w:val="left"/>
            </w:pPr>
            <w:r>
              <w:rPr>
                <w:b/>
                <w:bCs/>
                <w:color w:val="14213D"/>
                <w:sz w:val="21"/>
                <w:szCs w:val="21"/>
              </w:rPr>
              <w:t xml:space="preserve">10:00</w:t>
            </w:r>
          </w:p>
        </w:tc>
        <w:tc>
          <w:tcPr>
            <w:tcW w:type="dxa" w:w="2700"/>
            <w:shd w:fill="FBF7F0" w:color="auto" w:val="clear"/>
            <w:tcMar>
              <w:top w:type="dxa" w:w="90"/>
              <w:left w:type="dxa" w:w="140"/>
              <w:bottom w:type="dxa" w:w="90"/>
              <w:right w:type="dxa" w:w="140"/>
            </w:tcMar>
            <w:vAlign w:val="center"/>
          </w:tcPr>
          <w:p>
            <w:pPr>
              <w:spacing w:after="0" w:line="276"/>
              <w:jc w:val="left"/>
            </w:pPr>
            <w:r>
              <w:rPr>
                <w:b w:val="false"/>
                <w:bCs w:val="false"/>
                <w:color w:val="1F2933"/>
                <w:sz w:val="21"/>
                <w:szCs w:val="21"/>
              </w:rPr>
              <w:t xml:space="preserve">Write for the reader</w:t>
            </w:r>
          </w:p>
        </w:tc>
        <w:tc>
          <w:tcPr>
            <w:tcW w:type="dxa" w:w="5360"/>
            <w:shd w:fill="FBF7F0" w:color="auto" w:val="clear"/>
            <w:tcMar>
              <w:top w:type="dxa" w:w="90"/>
              <w:left w:type="dxa" w:w="140"/>
              <w:bottom w:type="dxa" w:w="90"/>
              <w:right w:type="dxa" w:w="140"/>
            </w:tcMar>
            <w:vAlign w:val="center"/>
          </w:tcPr>
          <w:p>
            <w:pPr>
              <w:spacing w:after="0" w:line="276"/>
              <w:jc w:val="left"/>
            </w:pPr>
            <w:r>
              <w:rPr>
                <w:b w:val="false"/>
                <w:bCs w:val="false"/>
                <w:color w:val="1F2933"/>
                <w:sz w:val="21"/>
                <w:szCs w:val="21"/>
              </w:rPr>
              <w:t xml:space="preserve">Cutting jargon, shortening sentences, using headings and lists</w:t>
            </w:r>
          </w:p>
        </w:tc>
      </w:tr>
      <w:tr>
        <w:trPr>
          <w:tblHeader w:val="off"/>
        </w:trPr>
        <w:tc>
          <w:tcPr>
            <w:tcW w:type="dxa" w:w="1300"/>
            <w:tcMar>
              <w:top w:type="dxa" w:w="90"/>
              <w:left w:type="dxa" w:w="140"/>
              <w:bottom w:type="dxa" w:w="90"/>
              <w:right w:type="dxa" w:w="140"/>
            </w:tcMar>
            <w:vAlign w:val="center"/>
          </w:tcPr>
          <w:p>
            <w:pPr>
              <w:spacing w:after="0" w:line="276"/>
              <w:jc w:val="left"/>
            </w:pPr>
            <w:r>
              <w:rPr>
                <w:b/>
                <w:bCs/>
                <w:color w:val="14213D"/>
                <w:sz w:val="21"/>
                <w:szCs w:val="21"/>
              </w:rPr>
              <w:t xml:space="preserve">11:00</w:t>
            </w:r>
          </w:p>
        </w:tc>
        <w:tc>
          <w:tcPr>
            <w:tcW w:type="dxa" w:w="2700"/>
            <w:tcMar>
              <w:top w:type="dxa" w:w="90"/>
              <w:left w:type="dxa" w:w="140"/>
              <w:bottom w:type="dxa" w:w="90"/>
              <w:right w:type="dxa" w:w="140"/>
            </w:tcMar>
            <w:vAlign w:val="center"/>
          </w:tcPr>
          <w:p>
            <w:pPr>
              <w:spacing w:after="0" w:line="276"/>
              <w:jc w:val="left"/>
            </w:pPr>
            <w:r>
              <w:rPr>
                <w:b w:val="false"/>
                <w:bCs w:val="false"/>
                <w:color w:val="1F2933"/>
                <w:sz w:val="21"/>
                <w:szCs w:val="21"/>
              </w:rPr>
              <w:t xml:space="preserve">Make the next step obvious</w:t>
            </w:r>
          </w:p>
        </w:tc>
        <w:tc>
          <w:tcPr>
            <w:tcW w:type="dxa" w:w="5360"/>
            <w:tcMar>
              <w:top w:type="dxa" w:w="90"/>
              <w:left w:type="dxa" w:w="140"/>
              <w:bottom w:type="dxa" w:w="90"/>
              <w:right w:type="dxa" w:w="140"/>
            </w:tcMar>
            <w:vAlign w:val="center"/>
          </w:tcPr>
          <w:p>
            <w:pPr>
              <w:spacing w:after="0" w:line="276"/>
              <w:jc w:val="left"/>
            </w:pPr>
            <w:r>
              <w:rPr>
                <w:b w:val="false"/>
                <w:bCs w:val="false"/>
                <w:color w:val="1F2933"/>
                <w:sz w:val="21"/>
                <w:szCs w:val="21"/>
              </w:rPr>
              <w:t xml:space="preserve">Clear calls to action, deadlines and ownership</w:t>
            </w:r>
          </w:p>
        </w:tc>
      </w:tr>
      <w:tr>
        <w:trPr>
          <w:tblHeader w:val="off"/>
        </w:trPr>
        <w:tc>
          <w:tcPr>
            <w:tcW w:type="dxa" w:w="1300"/>
            <w:shd w:fill="FBF7F0" w:color="auto" w:val="clear"/>
            <w:tcMar>
              <w:top w:type="dxa" w:w="90"/>
              <w:left w:type="dxa" w:w="140"/>
              <w:bottom w:type="dxa" w:w="90"/>
              <w:right w:type="dxa" w:w="140"/>
            </w:tcMar>
            <w:vAlign w:val="center"/>
          </w:tcPr>
          <w:p>
            <w:pPr>
              <w:spacing w:after="0" w:line="276"/>
              <w:jc w:val="left"/>
            </w:pPr>
            <w:r>
              <w:rPr>
                <w:b/>
                <w:bCs/>
                <w:color w:val="14213D"/>
                <w:sz w:val="21"/>
                <w:szCs w:val="21"/>
              </w:rPr>
              <w:t xml:space="preserve">12:00</w:t>
            </w:r>
          </w:p>
        </w:tc>
        <w:tc>
          <w:tcPr>
            <w:tcW w:type="dxa" w:w="2700"/>
            <w:shd w:fill="FBF7F0" w:color="auto" w:val="clear"/>
            <w:tcMar>
              <w:top w:type="dxa" w:w="90"/>
              <w:left w:type="dxa" w:w="140"/>
              <w:bottom w:type="dxa" w:w="90"/>
              <w:right w:type="dxa" w:w="140"/>
            </w:tcMar>
            <w:vAlign w:val="center"/>
          </w:tcPr>
          <w:p>
            <w:pPr>
              <w:spacing w:after="0" w:line="276"/>
              <w:jc w:val="left"/>
            </w:pPr>
            <w:r>
              <w:rPr>
                <w:b w:val="false"/>
                <w:bCs w:val="false"/>
                <w:color w:val="1F2933"/>
                <w:sz w:val="21"/>
                <w:szCs w:val="21"/>
              </w:rPr>
              <w:t xml:space="preserve">Apply it</w:t>
            </w:r>
          </w:p>
        </w:tc>
        <w:tc>
          <w:tcPr>
            <w:tcW w:type="dxa" w:w="5360"/>
            <w:shd w:fill="FBF7F0" w:color="auto" w:val="clear"/>
            <w:tcMar>
              <w:top w:type="dxa" w:w="90"/>
              <w:left w:type="dxa" w:w="140"/>
              <w:bottom w:type="dxa" w:w="90"/>
              <w:right w:type="dxa" w:w="140"/>
            </w:tcMar>
            <w:vAlign w:val="center"/>
          </w:tcPr>
          <w:p>
            <w:pPr>
              <w:spacing w:after="0" w:line="276"/>
              <w:jc w:val="left"/>
            </w:pPr>
            <w:r>
              <w:rPr>
                <w:b w:val="false"/>
                <w:bCs w:val="false"/>
                <w:color w:val="1F2933"/>
                <w:sz w:val="21"/>
                <w:szCs w:val="21"/>
              </w:rPr>
              <w:t xml:space="preserve">Each participant rewrites one document from their own inbox and receives feedback</w:t>
            </w:r>
          </w:p>
        </w:tc>
      </w:tr>
    </w:tbl>
    <w:p>
      <w:pPr>
        <w:spacing w:after="160"/>
      </w:pPr>
    </w:p>
    <w:p>
      <w:pPr>
        <w:pStyle w:val="Heading2"/>
      </w:pPr>
      <w:bookmarkStart w:name="_Toc6" w:id="6"/>
      <w:r>
        <w:t xml:space="preserve">3.3 What participants leave with</w:t>
      </w:r>
      <w:bookmarkEnd w:id="6"/>
    </w:p>
    <w:p>
      <w:pPr>
        <w:pStyle w:val="ListParagraph"/>
        <w:numPr>
          <w:ilvl w:val="0"/>
          <w:numId w:val="3"/>
        </w:numPr>
        <w:spacing w:after="80" w:line="300"/>
      </w:pPr>
      <w:r>
        <w:t xml:space="preserve">A three-part structure that works for any email, report or proposal.</w:t>
      </w:r>
    </w:p>
    <w:p>
      <w:pPr>
        <w:pStyle w:val="ListParagraph"/>
        <w:numPr>
          <w:ilvl w:val="0"/>
          <w:numId w:val="3"/>
        </w:numPr>
        <w:spacing w:after="80" w:line="300"/>
      </w:pPr>
      <w:r>
        <w:t xml:space="preserve">A one-page editing checklist for the team's shared drive.</w:t>
      </w:r>
    </w:p>
    <w:p>
      <w:pPr>
        <w:pStyle w:val="ListParagraph"/>
        <w:numPr>
          <w:ilvl w:val="0"/>
          <w:numId w:val="3"/>
        </w:numPr>
        <w:spacing w:after="80" w:line="300"/>
      </w:pPr>
      <w:r>
        <w:t xml:space="preserve">One real document rewritten, reviewed and ready to send.</w:t>
      </w:r>
    </w:p>
    <w:p>
      <w:pPr>
        <w:pStyle w:val="ListParagraph"/>
        <w:numPr>
          <w:ilvl w:val="0"/>
          <w:numId w:val="3"/>
        </w:numPr>
        <w:spacing w:after="80" w:line="300"/>
      </w:pPr>
      <w:r>
        <w:t xml:space="preserve">A follow-up review of three further documents, four weeks after the session.</w:t>
      </w:r>
    </w:p>
    <w:p>
      <w:pPr>
        <w:pStyle w:val="Heading1"/>
      </w:pPr>
      <w:bookmarkStart w:name="_Toc7" w:id="7"/>
      <w:r>
        <w:t xml:space="preserve">4. Investment and logistics</w:t>
      </w:r>
      <w:bookmarkEnd w:id="7"/>
    </w:p>
    <w:tbl>
      <w:tblPr>
        <w:tblW w:type="dxa" w:w="9360"/>
        <w:tblBorders>
          <w:top w:val="single" w:color="E6E1D6" w:sz="4"/>
          <w:left w:val="single" w:color="E6E1D6" w:sz="4"/>
          <w:bottom w:val="single" w:color="E6E1D6" w:sz="4"/>
          <w:right w:val="single" w:color="E6E1D6" w:sz="4"/>
          <w:insideH w:val="single" w:color="E6E1D6" w:sz="4"/>
          <w:insideV w:val="single" w:color="E6E1D6" w:sz="4"/>
        </w:tblBorders>
        <w:tblLayout w:type="fixed"/>
      </w:tblPr>
      <w:tblGrid>
        <w:gridCol w:w="2600"/>
        <w:gridCol w:w="6760"/>
      </w:tblGrid>
      <w:tr>
        <w:trPr>
          <w:tblHeader/>
        </w:trPr>
        <w:tc>
          <w:tcPr>
            <w:tcW w:type="dxa" w:w="2600"/>
            <w:shd w:fill="14213D" w:color="auto" w:val="clear"/>
            <w:tcMar>
              <w:top w:type="dxa" w:w="90"/>
              <w:left w:type="dxa" w:w="140"/>
              <w:bottom w:type="dxa" w:w="90"/>
              <w:right w:type="dxa" w:w="140"/>
            </w:tcMar>
            <w:vAlign w:val="center"/>
          </w:tcPr>
          <w:p>
            <w:pPr>
              <w:spacing w:after="0" w:line="276"/>
              <w:jc w:val="left"/>
            </w:pPr>
            <w:r>
              <w:rPr>
                <w:b/>
                <w:bCs/>
                <w:color w:val="FFFFFF"/>
                <w:sz w:val="21"/>
                <w:szCs w:val="21"/>
              </w:rPr>
              <w:t xml:space="preserve">Item</w:t>
            </w:r>
          </w:p>
        </w:tc>
        <w:tc>
          <w:tcPr>
            <w:tcW w:type="dxa" w:w="6760"/>
            <w:shd w:fill="14213D" w:color="auto" w:val="clear"/>
            <w:tcMar>
              <w:top w:type="dxa" w:w="90"/>
              <w:left w:type="dxa" w:w="140"/>
              <w:bottom w:type="dxa" w:w="90"/>
              <w:right w:type="dxa" w:w="140"/>
            </w:tcMar>
            <w:vAlign w:val="center"/>
          </w:tcPr>
          <w:p>
            <w:pPr>
              <w:spacing w:after="0" w:line="276"/>
              <w:jc w:val="left"/>
            </w:pPr>
            <w:r>
              <w:rPr>
                <w:b/>
                <w:bCs/>
                <w:color w:val="FFFFFF"/>
                <w:sz w:val="21"/>
                <w:szCs w:val="21"/>
              </w:rPr>
              <w:t xml:space="preserve">Detail</w:t>
            </w:r>
          </w:p>
        </w:tc>
      </w:tr>
      <w:tr>
        <w:trPr>
          <w:tblHeader w:val="off"/>
        </w:trPr>
        <w:tc>
          <w:tcPr>
            <w:tcW w:type="dxa" w:w="2600"/>
            <w:tcMar>
              <w:top w:type="dxa" w:w="90"/>
              <w:left w:type="dxa" w:w="140"/>
              <w:bottom w:type="dxa" w:w="90"/>
              <w:right w:type="dxa" w:w="140"/>
            </w:tcMar>
            <w:vAlign w:val="center"/>
          </w:tcPr>
          <w:p>
            <w:pPr>
              <w:spacing w:after="0" w:line="276"/>
              <w:jc w:val="left"/>
            </w:pPr>
            <w:r>
              <w:rPr>
                <w:b/>
                <w:bCs/>
                <w:color w:val="14213D"/>
                <w:sz w:val="21"/>
                <w:szCs w:val="21"/>
              </w:rPr>
              <w:t xml:space="preserve">Duration</w:t>
            </w:r>
          </w:p>
        </w:tc>
        <w:tc>
          <w:tcPr>
            <w:tcW w:type="dxa" w:w="6760"/>
            <w:tcMar>
              <w:top w:type="dxa" w:w="90"/>
              <w:left w:type="dxa" w:w="140"/>
              <w:bottom w:type="dxa" w:w="90"/>
              <w:right w:type="dxa" w:w="140"/>
            </w:tcMar>
            <w:vAlign w:val="center"/>
          </w:tcPr>
          <w:p>
            <w:pPr>
              <w:spacing w:after="0" w:line="276"/>
              <w:jc w:val="left"/>
            </w:pPr>
            <w:r>
              <w:rPr>
                <w:b w:val="false"/>
                <w:bCs w:val="false"/>
                <w:color w:val="1F2933"/>
                <w:sz w:val="21"/>
                <w:szCs w:val="21"/>
              </w:rPr>
              <w:t xml:space="preserve">3.5 hours, including one 15-minute break</w:t>
            </w:r>
          </w:p>
        </w:tc>
      </w:tr>
      <w:tr>
        <w:trPr>
          <w:tblHeader w:val="off"/>
        </w:trPr>
        <w:tc>
          <w:tcPr>
            <w:tcW w:type="dxa" w:w="2600"/>
            <w:shd w:fill="FBF7F0" w:color="auto" w:val="clear"/>
            <w:tcMar>
              <w:top w:type="dxa" w:w="90"/>
              <w:left w:type="dxa" w:w="140"/>
              <w:bottom w:type="dxa" w:w="90"/>
              <w:right w:type="dxa" w:w="140"/>
            </w:tcMar>
            <w:vAlign w:val="center"/>
          </w:tcPr>
          <w:p>
            <w:pPr>
              <w:spacing w:after="0" w:line="276"/>
              <w:jc w:val="left"/>
            </w:pPr>
            <w:r>
              <w:rPr>
                <w:b/>
                <w:bCs/>
                <w:color w:val="14213D"/>
                <w:sz w:val="21"/>
                <w:szCs w:val="21"/>
              </w:rPr>
              <w:t xml:space="preserve">Format</w:t>
            </w:r>
          </w:p>
        </w:tc>
        <w:tc>
          <w:tcPr>
            <w:tcW w:type="dxa" w:w="6760"/>
            <w:shd w:fill="FBF7F0" w:color="auto" w:val="clear"/>
            <w:tcMar>
              <w:top w:type="dxa" w:w="90"/>
              <w:left w:type="dxa" w:w="140"/>
              <w:bottom w:type="dxa" w:w="90"/>
              <w:right w:type="dxa" w:w="140"/>
            </w:tcMar>
            <w:vAlign w:val="center"/>
          </w:tcPr>
          <w:p>
            <w:pPr>
              <w:spacing w:after="0" w:line="276"/>
              <w:jc w:val="left"/>
            </w:pPr>
            <w:r>
              <w:rPr>
                <w:b w:val="false"/>
                <w:bCs w:val="false"/>
                <w:color w:val="1F2933"/>
                <w:sz w:val="21"/>
                <w:szCs w:val="21"/>
              </w:rPr>
              <w:t xml:space="preserve">Online (Microsoft Teams or Zoom) or on-site in Halifax</w:t>
            </w:r>
          </w:p>
        </w:tc>
      </w:tr>
      <w:tr>
        <w:trPr>
          <w:tblHeader w:val="off"/>
        </w:trPr>
        <w:tc>
          <w:tcPr>
            <w:tcW w:type="dxa" w:w="2600"/>
            <w:tcMar>
              <w:top w:type="dxa" w:w="90"/>
              <w:left w:type="dxa" w:w="140"/>
              <w:bottom w:type="dxa" w:w="90"/>
              <w:right w:type="dxa" w:w="140"/>
            </w:tcMar>
            <w:vAlign w:val="center"/>
          </w:tcPr>
          <w:p>
            <w:pPr>
              <w:spacing w:after="0" w:line="276"/>
              <w:jc w:val="left"/>
            </w:pPr>
            <w:r>
              <w:rPr>
                <w:b/>
                <w:bCs/>
                <w:color w:val="14213D"/>
                <w:sz w:val="21"/>
                <w:szCs w:val="21"/>
              </w:rPr>
              <w:t xml:space="preserve">Group size</w:t>
            </w:r>
          </w:p>
        </w:tc>
        <w:tc>
          <w:tcPr>
            <w:tcW w:type="dxa" w:w="6760"/>
            <w:tcMar>
              <w:top w:type="dxa" w:w="90"/>
              <w:left w:type="dxa" w:w="140"/>
              <w:bottom w:type="dxa" w:w="90"/>
              <w:right w:type="dxa" w:w="140"/>
            </w:tcMar>
            <w:vAlign w:val="center"/>
          </w:tcPr>
          <w:p>
            <w:pPr>
              <w:spacing w:after="0" w:line="276"/>
              <w:jc w:val="left"/>
            </w:pPr>
            <w:r>
              <w:rPr>
                <w:b w:val="false"/>
                <w:bCs w:val="false"/>
                <w:color w:val="1F2933"/>
                <w:sz w:val="21"/>
                <w:szCs w:val="21"/>
              </w:rPr>
              <w:t xml:space="preserve">6 to 16 participants</w:t>
            </w:r>
          </w:p>
        </w:tc>
      </w:tr>
      <w:tr>
        <w:trPr>
          <w:tblHeader w:val="off"/>
        </w:trPr>
        <w:tc>
          <w:tcPr>
            <w:tcW w:type="dxa" w:w="2600"/>
            <w:shd w:fill="FBF7F0" w:color="auto" w:val="clear"/>
            <w:tcMar>
              <w:top w:type="dxa" w:w="90"/>
              <w:left w:type="dxa" w:w="140"/>
              <w:bottom w:type="dxa" w:w="90"/>
              <w:right w:type="dxa" w:w="140"/>
            </w:tcMar>
            <w:vAlign w:val="center"/>
          </w:tcPr>
          <w:p>
            <w:pPr>
              <w:spacing w:after="0" w:line="276"/>
              <w:jc w:val="left"/>
            </w:pPr>
            <w:r>
              <w:rPr>
                <w:b/>
                <w:bCs/>
                <w:color w:val="14213D"/>
                <w:sz w:val="21"/>
                <w:szCs w:val="21"/>
              </w:rPr>
              <w:t xml:space="preserve">Investment</w:t>
            </w:r>
          </w:p>
        </w:tc>
        <w:tc>
          <w:tcPr>
            <w:tcW w:type="dxa" w:w="6760"/>
            <w:shd w:fill="FBF7F0" w:color="auto" w:val="clear"/>
            <w:tcMar>
              <w:top w:type="dxa" w:w="90"/>
              <w:left w:type="dxa" w:w="140"/>
              <w:bottom w:type="dxa" w:w="90"/>
              <w:right w:type="dxa" w:w="140"/>
            </w:tcMar>
            <w:vAlign w:val="center"/>
          </w:tcPr>
          <w:p>
            <w:pPr>
              <w:spacing w:after="0" w:line="276"/>
              <w:jc w:val="left"/>
            </w:pPr>
            <w:r>
              <w:rPr>
                <w:b w:val="false"/>
                <w:bCs w:val="false"/>
                <w:color w:val="1F2933"/>
                <w:sz w:val="21"/>
                <w:szCs w:val="21"/>
              </w:rPr>
              <w:t xml:space="preserve">CAD 1,200 per session, plus travel at cost for on-site delivery outside Toronto</w:t>
            </w:r>
          </w:p>
        </w:tc>
      </w:tr>
      <w:tr>
        <w:trPr>
          <w:tblHeader w:val="off"/>
        </w:trPr>
        <w:tc>
          <w:tcPr>
            <w:tcW w:type="dxa" w:w="2600"/>
            <w:tcMar>
              <w:top w:type="dxa" w:w="90"/>
              <w:left w:type="dxa" w:w="140"/>
              <w:bottom w:type="dxa" w:w="90"/>
              <w:right w:type="dxa" w:w="140"/>
            </w:tcMar>
            <w:vAlign w:val="center"/>
          </w:tcPr>
          <w:p>
            <w:pPr>
              <w:spacing w:after="0" w:line="276"/>
              <w:jc w:val="left"/>
            </w:pPr>
            <w:r>
              <w:rPr>
                <w:b/>
                <w:bCs/>
                <w:color w:val="14213D"/>
                <w:sz w:val="21"/>
                <w:szCs w:val="21"/>
              </w:rPr>
              <w:t xml:space="preserve">Includes</w:t>
            </w:r>
          </w:p>
        </w:tc>
        <w:tc>
          <w:tcPr>
            <w:tcW w:type="dxa" w:w="6760"/>
            <w:tcMar>
              <w:top w:type="dxa" w:w="90"/>
              <w:left w:type="dxa" w:w="140"/>
              <w:bottom w:type="dxa" w:w="90"/>
              <w:right w:type="dxa" w:w="140"/>
            </w:tcMar>
            <w:vAlign w:val="center"/>
          </w:tcPr>
          <w:p>
            <w:pPr>
              <w:spacing w:after="0" w:line="276"/>
              <w:jc w:val="left"/>
            </w:pPr>
            <w:r>
              <w:rPr>
                <w:b w:val="false"/>
                <w:bCs w:val="false"/>
                <w:color w:val="1F2933"/>
                <w:sz w:val="21"/>
                <w:szCs w:val="21"/>
              </w:rPr>
              <w:t xml:space="preserve">Pre-workshop survey, participant workbook, editing checklist, four-week follow-up review</w:t>
            </w:r>
          </w:p>
        </w:tc>
      </w:tr>
      <w:tr>
        <w:trPr>
          <w:tblHeader w:val="off"/>
        </w:trPr>
        <w:tc>
          <w:tcPr>
            <w:tcW w:type="dxa" w:w="2600"/>
            <w:shd w:fill="FBF7F0" w:color="auto" w:val="clear"/>
            <w:tcMar>
              <w:top w:type="dxa" w:w="90"/>
              <w:left w:type="dxa" w:w="140"/>
              <w:bottom w:type="dxa" w:w="90"/>
              <w:right w:type="dxa" w:w="140"/>
            </w:tcMar>
            <w:vAlign w:val="center"/>
          </w:tcPr>
          <w:p>
            <w:pPr>
              <w:spacing w:after="0" w:line="276"/>
              <w:jc w:val="left"/>
            </w:pPr>
            <w:r>
              <w:rPr>
                <w:b/>
                <w:bCs/>
                <w:color w:val="14213D"/>
                <w:sz w:val="21"/>
                <w:szCs w:val="21"/>
              </w:rPr>
              <w:t xml:space="preserve">Proposed dates</w:t>
            </w:r>
          </w:p>
        </w:tc>
        <w:tc>
          <w:tcPr>
            <w:tcW w:type="dxa" w:w="6760"/>
            <w:shd w:fill="FBF7F0" w:color="auto" w:val="clear"/>
            <w:tcMar>
              <w:top w:type="dxa" w:w="90"/>
              <w:left w:type="dxa" w:w="140"/>
              <w:bottom w:type="dxa" w:w="90"/>
              <w:right w:type="dxa" w:w="140"/>
            </w:tcMar>
            <w:vAlign w:val="center"/>
          </w:tcPr>
          <w:p>
            <w:pPr>
              <w:spacing w:after="0" w:line="276"/>
              <w:jc w:val="left"/>
            </w:pPr>
            <w:r>
              <w:rPr>
                <w:b w:val="false"/>
                <w:bCs w:val="false"/>
                <w:color w:val="1F2933"/>
                <w:sz w:val="21"/>
                <w:szCs w:val="21"/>
              </w:rPr>
              <w:t xml:space="preserve">Tuesday 4 November or Thursday 13 November 2026, 9:00 to 12:30 Atlantic time</w:t>
            </w:r>
          </w:p>
        </w:tc>
      </w:tr>
    </w:tbl>
    <w:p>
      <w:pPr>
        <w:spacing w:after="160"/>
      </w:pPr>
    </w:p>
    <w:p>
      <w:pPr>
        <w:spacing w:after="140" w:line="300"/>
      </w:pPr>
      <w:r>
        <w:t xml:space="preserve">Payment is due within 30 days of the session. Dates can be rescheduled once without charge with ten working days' notice.</w:t>
      </w:r>
    </w:p>
    <w:p>
      <w:pPr>
        <w:pStyle w:val="Heading1"/>
      </w:pPr>
      <w:bookmarkStart w:name="_Toc8" w:id="8"/>
      <w:r>
        <w:t xml:space="preserve">5. About the facilitator</w:t>
      </w:r>
      <w:bookmarkEnd w:id="8"/>
    </w:p>
    <w:p>
      <w:pPr>
        <w:spacing w:after="140" w:line="300"/>
      </w:pPr>
      <w:r>
        <w:t xml:space="preserve">Dr. Elena Marsh teaches business communication at university level and founded Northlight Learning Studio to bring the same clarity to working professionals. She has taught more than 3,000 students and professionals and delivered over 40 workshops to teams.</w:t>
      </w:r>
    </w:p>
    <w:p>
      <w:pPr>
        <w:pStyle w:val="ListParagraph"/>
        <w:numPr>
          <w:ilvl w:val="0"/>
          <w:numId w:val="3"/>
        </w:numPr>
        <w:spacing w:after="80" w:line="300"/>
      </w:pPr>
      <w:r>
        <w:t xml:space="preserve">PhD, Communication Studies</w:t>
      </w:r>
    </w:p>
    <w:p>
      <w:pPr>
        <w:pStyle w:val="ListParagraph"/>
        <w:numPr>
          <w:ilvl w:val="0"/>
          <w:numId w:val="3"/>
        </w:numPr>
        <w:spacing w:after="80" w:line="300"/>
      </w:pPr>
      <w:r>
        <w:t xml:space="preserve">MA, Applied Linguistics</w:t>
      </w:r>
    </w:p>
    <w:p>
      <w:pPr>
        <w:pStyle w:val="ListParagraph"/>
        <w:numPr>
          <w:ilvl w:val="0"/>
          <w:numId w:val="3"/>
        </w:numPr>
        <w:spacing w:after="80" w:line="300"/>
      </w:pPr>
      <w:r>
        <w:t xml:space="preserve">Certified Adult Educator</w:t>
      </w:r>
    </w:p>
    <w:p>
      <w:pPr>
        <w:pStyle w:val="Heading1"/>
      </w:pPr>
      <w:bookmarkStart w:name="_Toc9" w:id="9"/>
      <w:r>
        <w:t xml:space="preserve">6. Next steps</w:t>
      </w:r>
      <w:bookmarkEnd w:id="9"/>
    </w:p>
    <w:p>
      <w:pPr>
        <w:pStyle w:val="ListParagraph"/>
        <w:numPr>
          <w:ilvl w:val="0"/>
          <w:numId w:val="4"/>
        </w:numPr>
        <w:spacing w:after="80" w:line="300"/>
      </w:pPr>
      <w:r>
        <w:t xml:space="preserve">Confirm a preferred date from the two options in section 4.</w:t>
      </w:r>
    </w:p>
    <w:p>
      <w:pPr>
        <w:pStyle w:val="ListParagraph"/>
        <w:numPr>
          <w:ilvl w:val="0"/>
          <w:numId w:val="4"/>
        </w:numPr>
        <w:spacing w:after="80" w:line="300"/>
      </w:pPr>
      <w:r>
        <w:t xml:space="preserve">Nominate up to 16 participants; we send the pre-workshop survey within two working days.</w:t>
      </w:r>
    </w:p>
    <w:p>
      <w:pPr>
        <w:pStyle w:val="ListParagraph"/>
        <w:numPr>
          <w:ilvl w:val="0"/>
          <w:numId w:val="4"/>
        </w:numPr>
        <w:spacing w:after="80" w:line="300"/>
      </w:pPr>
      <w:r>
        <w:t xml:space="preserve">Participants each choose one document to bring to the session.</w:t>
      </w:r>
    </w:p>
    <w:p>
      <w:pPr>
        <w:spacing w:after="120"/>
      </w:pPr>
    </w:p>
    <w:p>
      <w:pPr>
        <w:spacing w:after="140" w:line="300"/>
      </w:pPr>
      <w:r>
        <w:t xml:space="preserve">We would be glad to discuss any adjustments to the programme. Please reply to this proposal or book a 20-minute call at northlightlearning.example.</w:t>
      </w:r>
    </w:p>
    <w:p>
      <w:pPr>
        <w:spacing w:after="200"/>
      </w:pPr>
    </w:p>
    <w:p>
      <w:pPr>
        <w:spacing w:after="140" w:line="300"/>
      </w:pPr>
      <w:r>
        <w:rPr>
          <w:b/>
          <w:bCs/>
          <w:color w:val="14213D"/>
        </w:rPr>
        <w:t xml:space="preserve">Dr. Elena Marsh</w:t>
      </w:r>
    </w:p>
    <w:p>
      <w:pPr>
        <w:pStyle w:val="Meta"/>
      </w:pPr>
      <w:r>
        <w:t xml:space="preserve">Founder, Northlight Learning Studio</w:t>
      </w:r>
    </w:p>
    <w:p>
      <w:pPr>
        <w:pStyle w:val="Meta"/>
      </w:pPr>
      <w:r>
        <w:t xml:space="preserve">hello@northlightlearning.example | northlightlearning.example</w:t>
      </w:r>
    </w:p>
    <w:p>
      <w:pPr>
        <w:spacing w:after="360"/>
      </w:pPr>
    </w:p>
    <w:p>
      <w:pPr>
        <w:spacing w:after="0"/>
      </w:pPr>
      <w:r>
        <w:rPr>
          <w:i/>
          <w:iCs/>
          <w:color w:val="6B7280"/>
          <w:sz w:val="16"/>
          <w:szCs w:val="16"/>
        </w:rPr>
        <w:t xml:space="preserve">Design sample. Northlight Learning Studio, Harbourview Consulting Group and the people named are fictional, created for portfolio purposes.</w:t>
      </w:r>
    </w:p>
    <w:sectPr>
      <w:headerReference w:type="default" r:id="rId6"/>
      <w:footerReference w:type="default" r:id="rId7"/>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7"/>
        <w:szCs w:val="17"/>
      </w:rPr>
      <w:t xml:space="preserve">Confidential | Prepared for Harbourview Consulting Group</w:t>
    </w:r>
    <w:r>
      <w:rPr>
        <w:color w:val="6B7280"/>
        <w:sz w:val="17"/>
        <w:szCs w:val="17"/>
      </w:rPr>
      <w:t xml:space="preserve">	Page </w:t>
    </w:r>
    <w:r>
      <w:rPr>
        <w:color w:val="6B7280"/>
        <w:sz w:val="17"/>
        <w:szCs w:val="17"/>
      </w:rPr>
      <w:fldChar w:fldCharType="begin"/>
      <w:instrText xml:space="preserve">PAGE</w:instrText>
      <w:fldChar w:fldCharType="separate"/>
      <w:fldChar w:fldCharType="end"/>
    </w:r>
    <w:r>
      <w:rPr>
        <w:color w:val="6B7280"/>
        <w:sz w:val="17"/>
        <w:szCs w:val="17"/>
      </w:rPr>
      <w:t xml:space="preserve"> of </w:t>
    </w:r>
    <w:r>
      <w:rPr>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B44C" w:sz="6" w:space="4"/>
      </w:pBdr>
      <w:tabs>
        <w:tab w:val="right" w:pos="9360"/>
      </w:tabs>
    </w:pPr>
    <w:r>
      <w:rPr>
        <w:rFonts w:ascii="Cambria" w:cs="Cambria" w:eastAsia="Cambria" w:hAnsi="Cambria"/>
        <w:b/>
        <w:bCs/>
        <w:color w:val="14213D"/>
        <w:spacing w:val="40"/>
        <w:sz w:val="18"/>
        <w:szCs w:val="18"/>
      </w:rPr>
      <w:t xml:space="preserve">NORTHLIGHT LEARNING STUDIO</w:t>
    </w:r>
    <w:r>
      <w:rPr>
        <w:color w:val="6B7280"/>
        <w:sz w:val="18"/>
        <w:szCs w:val="18"/>
      </w:rPr>
      <w:t xml:space="preserve">	Workshop proposal: Business Writing Essentials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b/>
        <w:bCs/>
        <w:color w:val="E9B44C"/>
      </w:rPr>
    </w:lvl>
  </w:abstractNum>
  <w:abstractNum w:abstractNumId="3" w15:restartNumberingAfterBreak="0">
    <w:multiLevelType w:val="hybridMultilevel"/>
    <w:lvl w:ilvl="0" w:tentative="1">
      <w:start w:val="1"/>
      <w:numFmt w:val="decimal"/>
      <w:lvlText w:val="%1."/>
      <w:lvlJc w:val="left"/>
      <w:pPr>
        <w:ind w:left="540" w:hanging="360"/>
      </w:pPr>
      <w:rPr>
        <w:b/>
        <w:bCs/>
        <w:color w:val="14213D"/>
      </w:rPr>
    </w:lvl>
  </w:abstractNum>
  <w:abstractNum w:abstractNumId="4" w15:restartNumberingAfterBreak="0">
    <w:multiLevelType w:val="hybridMultilevel"/>
    <w:lvl w:ilvl="0" w:tentative="1">
      <w:start w:val="1"/>
      <w:numFmt w:val="decimal"/>
      <w:lvlText w:val="%1."/>
      <w:lvlJc w:val="left"/>
      <w:pPr>
        <w:ind w:left="540" w:hanging="360"/>
      </w:pPr>
      <w:rPr>
        <w:b/>
        <w:bCs/>
        <w:color w:val="14213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line="240"/>
    </w:pPr>
    <w:rPr>
      <w:rFonts w:ascii="Cambria" w:cs="Cambria" w:eastAsia="Cambria" w:hAnsi="Cambria"/>
      <w:b/>
      <w:bCs/>
      <w:color w:val="14213D"/>
      <w:sz w:val="56"/>
      <w:szCs w:val="56"/>
    </w:rPr>
  </w:style>
  <w:style w:type="paragraph" w:styleId="Subtitle">
    <w:name w:val="Subtitle"/>
    <w:basedOn w:val="Normal"/>
    <w:next w:val="Normal"/>
    <w:pPr>
      <w:spacing w:after="360" w:line="276"/>
    </w:pPr>
    <w:rPr>
      <w:rFonts w:ascii="Calibri" w:cs="Calibri" w:eastAsia="Calibri" w:hAnsi="Calibri"/>
      <w:color w:val="6B7280"/>
      <w:sz w:val="28"/>
      <w:szCs w:val="28"/>
    </w:rPr>
  </w:style>
  <w:style w:type="paragraph" w:styleId="Heading1">
    <w:name w:val="Heading 1"/>
    <w:basedOn w:val="Normal"/>
    <w:next w:val="Normal"/>
    <w:qFormat/>
    <w:pPr>
      <w:keepNext/>
      <w:spacing w:after="140" w:before="360"/>
      <w:outlineLvl w:val="0"/>
    </w:pPr>
    <w:rPr>
      <w:rFonts w:ascii="Cambria" w:cs="Cambria" w:eastAsia="Cambria" w:hAnsi="Cambria"/>
      <w:b/>
      <w:bCs/>
      <w:color w:val="14213D"/>
      <w:sz w:val="32"/>
      <w:szCs w:val="32"/>
    </w:rPr>
  </w:style>
  <w:style w:type="paragraph" w:styleId="Heading2">
    <w:name w:val="Heading 2"/>
    <w:basedOn w:val="Normal"/>
    <w:next w:val="Normal"/>
    <w:qFormat/>
    <w:pPr>
      <w:keepNext/>
      <w:spacing w:after="100" w:before="240"/>
      <w:outlineLvl w:val="1"/>
    </w:pPr>
    <w:rPr>
      <w:rFonts w:ascii="Cambria" w:cs="Cambria" w:eastAsia="Cambria" w:hAnsi="Cambria"/>
      <w:b/>
      <w:bCs/>
      <w:color w:val="2A7F86"/>
      <w:sz w:val="26"/>
      <w:szCs w:val="26"/>
    </w:rPr>
  </w:style>
  <w:style w:type="paragraph" w:styleId="ContentsHeading">
    <w:name w:val="Contents Heading"/>
    <w:basedOn w:val="Normal"/>
    <w:next w:val="Normal"/>
    <w:pPr>
      <w:keepNext/>
      <w:spacing w:after="140" w:before="360"/>
    </w:pPr>
    <w:rPr>
      <w:rFonts w:ascii="Cambria" w:cs="Cambria" w:eastAsia="Cambria" w:hAnsi="Cambria"/>
      <w:b/>
      <w:bCs/>
      <w:color w:val="14213D"/>
      <w:sz w:val="32"/>
      <w:szCs w:val="32"/>
    </w:rPr>
  </w:style>
  <w:style w:type="paragraph" w:styleId="Eyebrow">
    <w:name w:val="Eyebrow"/>
    <w:basedOn w:val="Normal"/>
    <w:next w:val="Normal"/>
    <w:pPr>
      <w:spacing w:after="160"/>
    </w:pPr>
    <w:rPr>
      <w:rFonts w:ascii="Calibri" w:cs="Calibri" w:eastAsia="Calibri" w:hAnsi="Calibri"/>
      <w:b/>
      <w:bCs/>
      <w:caps/>
      <w:color w:val="2A7F86"/>
      <w:spacing w:val="60"/>
      <w:sz w:val="18"/>
      <w:szCs w:val="18"/>
    </w:rPr>
  </w:style>
  <w:style w:type="paragraph" w:styleId="Meta">
    <w:name w:val="Meta"/>
    <w:basedOn w:val="Normal"/>
    <w:next w:val="Normal"/>
    <w:pPr>
      <w:spacing w:after="60" w:line="276"/>
    </w:pPr>
    <w:rPr>
      <w:rFonts w:ascii="Calibri" w:cs="Calibri" w:eastAsia="Calibri" w:hAnsi="Calibri"/>
      <w:color w:val="6B728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Writing Essentials: Workshop Proposal</dc:title>
  <dc:creator>Saad Bashir</dc:creator>
  <dc:description>Sample branded proposal document</dc:description>
  <cp:lastModifiedBy>Un-named</cp:lastModifiedBy>
  <cp:revision>1</cp:revision>
  <dcterms:created xsi:type="dcterms:W3CDTF">2026-10-08T05:50:43.884Z</dcterms:created>
  <dcterms:modified xsi:type="dcterms:W3CDTF">2026-10-08T05:50:43.887Z</dcterms:modified>
</cp:coreProperties>
</file>

<file path=docProps/custom.xml><?xml version="1.0" encoding="utf-8"?>
<Properties xmlns="http://schemas.openxmlformats.org/officeDocument/2006/custom-properties" xmlns:vt="http://schemas.openxmlformats.org/officeDocument/2006/docPropsVTypes"/>
</file>