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9E40" w14:textId="3E523C00" w:rsidR="00EE2675" w:rsidRPr="006677E4" w:rsidRDefault="00EE2675" w:rsidP="006677E4">
      <w:pPr>
        <w:rPr>
          <w:b/>
          <w:bCs/>
          <w:sz w:val="44"/>
          <w:szCs w:val="44"/>
          <w:u w:val="single"/>
        </w:rPr>
      </w:pPr>
      <w:r w:rsidRPr="00DD1448">
        <w:rPr>
          <w:b/>
          <w:bCs/>
          <w:sz w:val="44"/>
          <w:szCs w:val="44"/>
          <w:u w:val="single"/>
        </w:rPr>
        <w:t>Regulatory Guidelines for Customer Data Management, Record Retention, and Financial Eligibility</w:t>
      </w:r>
    </w:p>
    <w:p w14:paraId="48843A9F" w14:textId="77777777" w:rsidR="00B55035" w:rsidRDefault="00B55035">
      <w:pPr>
        <w:rPr>
          <w:b/>
          <w:bCs/>
        </w:rPr>
      </w:pPr>
    </w:p>
    <w:p w14:paraId="0CF1D976" w14:textId="77777777" w:rsidR="00EE2675" w:rsidRPr="00EE2675" w:rsidRDefault="00EE2675" w:rsidP="00EE2675">
      <w:pPr>
        <w:rPr>
          <w:b/>
          <w:bCs/>
        </w:rPr>
      </w:pPr>
      <w:r w:rsidRPr="00EE2675">
        <w:rPr>
          <w:b/>
          <w:bCs/>
        </w:rPr>
        <w:t>Section 1: Customer Data Privacy and Retention</w:t>
      </w:r>
    </w:p>
    <w:p w14:paraId="35302F54" w14:textId="77777777" w:rsidR="00EE2675" w:rsidRPr="00EE2675" w:rsidRDefault="00EE2675" w:rsidP="00EE2675">
      <w:r w:rsidRPr="00EE2675">
        <w:t xml:space="preserve">1.1 </w:t>
      </w:r>
      <w:r w:rsidRPr="00EE2675">
        <w:rPr>
          <w:b/>
          <w:bCs/>
        </w:rPr>
        <w:t>Data Retention Period</w:t>
      </w:r>
    </w:p>
    <w:p w14:paraId="14946A7B" w14:textId="77777777" w:rsidR="00EE2675" w:rsidRPr="00EE2675" w:rsidRDefault="00EE2675" w:rsidP="00EE2675">
      <w:r w:rsidRPr="00EE2675">
        <w:t xml:space="preserve">All customer Personally Identifiable Information (PII) must be retained for no longer than </w:t>
      </w:r>
      <w:r w:rsidRPr="00EE2675">
        <w:rPr>
          <w:b/>
          <w:bCs/>
        </w:rPr>
        <w:t>7 years</w:t>
      </w:r>
      <w:r w:rsidRPr="00EE2675">
        <w:t xml:space="preserve"> from the date of account closure, unless required by legal obligations.</w:t>
      </w:r>
    </w:p>
    <w:p w14:paraId="1CC5B6AB" w14:textId="77777777" w:rsidR="00EE2675" w:rsidRPr="00EE2675" w:rsidRDefault="00EE2675" w:rsidP="00EE2675">
      <w:r w:rsidRPr="00EE2675">
        <w:t xml:space="preserve">1.2 </w:t>
      </w:r>
      <w:r w:rsidRPr="00EE2675">
        <w:rPr>
          <w:b/>
          <w:bCs/>
        </w:rPr>
        <w:t>Data Encryption Standard</w:t>
      </w:r>
    </w:p>
    <w:p w14:paraId="67FD8A9F" w14:textId="77777777" w:rsidR="00EE2675" w:rsidRPr="00EE2675" w:rsidRDefault="00EE2675" w:rsidP="00EE2675">
      <w:r w:rsidRPr="00EE2675">
        <w:t xml:space="preserve">All customer data must be stored using at least </w:t>
      </w:r>
      <w:r w:rsidRPr="00EE2675">
        <w:rPr>
          <w:b/>
          <w:bCs/>
        </w:rPr>
        <w:t>AES-256 encryption</w:t>
      </w:r>
      <w:r w:rsidRPr="00EE2675">
        <w:t xml:space="preserve"> both at rest and in transit.</w:t>
      </w:r>
    </w:p>
    <w:p w14:paraId="04BBE110" w14:textId="77777777" w:rsidR="00EE2675" w:rsidRPr="00EE2675" w:rsidRDefault="00EE2675" w:rsidP="00EE2675">
      <w:r w:rsidRPr="00EE2675">
        <w:t xml:space="preserve">1.3 </w:t>
      </w:r>
      <w:r w:rsidRPr="00EE2675">
        <w:rPr>
          <w:b/>
          <w:bCs/>
        </w:rPr>
        <w:t>PII Access Control</w:t>
      </w:r>
    </w:p>
    <w:p w14:paraId="36B5DA7C" w14:textId="77777777" w:rsidR="00EE2675" w:rsidRPr="00EE2675" w:rsidRDefault="00EE2675" w:rsidP="00EE2675">
      <w:r w:rsidRPr="00EE2675">
        <w:t xml:space="preserve">Only authorized personnel with </w:t>
      </w:r>
      <w:r w:rsidRPr="00EE2675">
        <w:rPr>
          <w:b/>
          <w:bCs/>
        </w:rPr>
        <w:t>role-based access control (RBAC)</w:t>
      </w:r>
      <w:r w:rsidRPr="00EE2675">
        <w:t xml:space="preserve"> are permitted to access PII. Access logs must be retained for a minimum of </w:t>
      </w:r>
      <w:r w:rsidRPr="00EE2675">
        <w:rPr>
          <w:b/>
          <w:bCs/>
        </w:rPr>
        <w:t>2 years</w:t>
      </w:r>
      <w:r w:rsidRPr="00EE2675">
        <w:t>.</w:t>
      </w:r>
    </w:p>
    <w:p w14:paraId="798B9F4F" w14:textId="77777777" w:rsidR="00EE2675" w:rsidRPr="00EE2675" w:rsidRDefault="00EE2675" w:rsidP="00EE2675">
      <w:r w:rsidRPr="00EE2675">
        <w:t xml:space="preserve">1.4 </w:t>
      </w:r>
      <w:r w:rsidRPr="00EE2675">
        <w:rPr>
          <w:b/>
          <w:bCs/>
        </w:rPr>
        <w:t>Third-Party Disclosure</w:t>
      </w:r>
    </w:p>
    <w:p w14:paraId="7C6B98D9" w14:textId="77777777" w:rsidR="00EE2675" w:rsidRPr="00EE2675" w:rsidRDefault="00EE2675" w:rsidP="00EE2675">
      <w:r w:rsidRPr="00EE2675">
        <w:t xml:space="preserve">No customer data may be shared with external vendors unless a signed </w:t>
      </w:r>
      <w:r w:rsidRPr="00EE2675">
        <w:rPr>
          <w:b/>
          <w:bCs/>
        </w:rPr>
        <w:t>Data Processing Agreement (DPA)</w:t>
      </w:r>
      <w:r w:rsidRPr="00EE2675">
        <w:t xml:space="preserve"> exists and customer consent has been explicitly recorded.</w:t>
      </w:r>
    </w:p>
    <w:p w14:paraId="46D3C67A" w14:textId="77777777" w:rsidR="00EE2675" w:rsidRPr="00EE2675" w:rsidRDefault="00EE2675" w:rsidP="00EE2675">
      <w:r w:rsidRPr="00EE2675">
        <w:pict w14:anchorId="371DFCEA">
          <v:rect id="_x0000_i1055" style="width:0;height:1.5pt" o:hralign="center" o:hrstd="t" o:hr="t" fillcolor="#a0a0a0" stroked="f"/>
        </w:pict>
      </w:r>
    </w:p>
    <w:p w14:paraId="457203B9" w14:textId="77777777" w:rsidR="00EE2675" w:rsidRPr="00EE2675" w:rsidRDefault="00EE2675" w:rsidP="00EE2675">
      <w:pPr>
        <w:rPr>
          <w:b/>
          <w:bCs/>
        </w:rPr>
      </w:pPr>
      <w:r w:rsidRPr="00EE2675">
        <w:rPr>
          <w:rFonts w:ascii="Segoe UI Emoji" w:hAnsi="Segoe UI Emoji" w:cs="Segoe UI Emoji"/>
          <w:b/>
          <w:bCs/>
        </w:rPr>
        <w:t>🔹</w:t>
      </w:r>
      <w:r w:rsidRPr="00EE2675">
        <w:rPr>
          <w:b/>
          <w:bCs/>
        </w:rPr>
        <w:t xml:space="preserve"> Section 2: Financial Eligibility for Credit Products</w:t>
      </w:r>
    </w:p>
    <w:p w14:paraId="42059C09" w14:textId="77777777" w:rsidR="00EE2675" w:rsidRPr="00EE2675" w:rsidRDefault="00EE2675" w:rsidP="00EE2675">
      <w:r w:rsidRPr="00EE2675">
        <w:t xml:space="preserve">2.1 </w:t>
      </w:r>
      <w:r w:rsidRPr="00EE2675">
        <w:rPr>
          <w:b/>
          <w:bCs/>
        </w:rPr>
        <w:t>Minimum Income Threshold</w:t>
      </w:r>
    </w:p>
    <w:p w14:paraId="6C3FD836" w14:textId="77777777" w:rsidR="00EE2675" w:rsidRPr="00EE2675" w:rsidRDefault="00EE2675" w:rsidP="00EE2675">
      <w:r w:rsidRPr="00EE2675">
        <w:t xml:space="preserve">Applicants for personal loans must have a </w:t>
      </w:r>
      <w:r w:rsidRPr="00EE2675">
        <w:rPr>
          <w:b/>
          <w:bCs/>
        </w:rPr>
        <w:t>verifiable monthly income of at least ₹25,000</w:t>
      </w:r>
      <w:r w:rsidRPr="00EE2675">
        <w:t>, or equivalent foreign currency if residing abroad.</w:t>
      </w:r>
    </w:p>
    <w:p w14:paraId="685692BD" w14:textId="77777777" w:rsidR="00EE2675" w:rsidRPr="00EE2675" w:rsidRDefault="00EE2675" w:rsidP="00EE2675">
      <w:r w:rsidRPr="00EE2675">
        <w:t xml:space="preserve">2.2 </w:t>
      </w:r>
      <w:r w:rsidRPr="00EE2675">
        <w:rPr>
          <w:b/>
          <w:bCs/>
        </w:rPr>
        <w:t>Asset Declaration Requirement</w:t>
      </w:r>
    </w:p>
    <w:p w14:paraId="5C485811" w14:textId="77777777" w:rsidR="00EE2675" w:rsidRPr="00EE2675" w:rsidRDefault="00EE2675" w:rsidP="00EE2675">
      <w:r w:rsidRPr="00EE2675">
        <w:t xml:space="preserve">All applicants must disclose </w:t>
      </w:r>
      <w:r w:rsidRPr="00EE2675">
        <w:rPr>
          <w:b/>
          <w:bCs/>
        </w:rPr>
        <w:t>movable and immovable assets</w:t>
      </w:r>
      <w:r w:rsidRPr="00EE2675">
        <w:t>, including real estate, mutual funds, equity, and gold holdings.</w:t>
      </w:r>
    </w:p>
    <w:p w14:paraId="5E67643B" w14:textId="77777777" w:rsidR="00EE2675" w:rsidRPr="00EE2675" w:rsidRDefault="00EE2675" w:rsidP="00EE2675">
      <w:r w:rsidRPr="00EE2675">
        <w:t xml:space="preserve">2.3 </w:t>
      </w:r>
      <w:r w:rsidRPr="00EE2675">
        <w:rPr>
          <w:b/>
          <w:bCs/>
        </w:rPr>
        <w:t>Debt-to-Income Ratio</w:t>
      </w:r>
    </w:p>
    <w:p w14:paraId="3F7D2664" w14:textId="77777777" w:rsidR="00EE2675" w:rsidRPr="00EE2675" w:rsidRDefault="00EE2675" w:rsidP="00EE2675">
      <w:r w:rsidRPr="00EE2675">
        <w:t xml:space="preserve">Approved applicants must maintain a </w:t>
      </w:r>
      <w:r w:rsidRPr="00EE2675">
        <w:rPr>
          <w:b/>
          <w:bCs/>
        </w:rPr>
        <w:t>DTI ratio less than 40%</w:t>
      </w:r>
      <w:r w:rsidRPr="00EE2675">
        <w:t xml:space="preserve"> at the time of loan sanctioning.</w:t>
      </w:r>
    </w:p>
    <w:p w14:paraId="3F36A6F1" w14:textId="77777777" w:rsidR="00EE2675" w:rsidRPr="00EE2675" w:rsidRDefault="00EE2675" w:rsidP="00EE2675">
      <w:r w:rsidRPr="00EE2675">
        <w:lastRenderedPageBreak/>
        <w:t xml:space="preserve">2.4 </w:t>
      </w:r>
      <w:r w:rsidRPr="00EE2675">
        <w:rPr>
          <w:b/>
          <w:bCs/>
        </w:rPr>
        <w:t>Loan Eligibility Blacklist</w:t>
      </w:r>
    </w:p>
    <w:p w14:paraId="2EAF3282" w14:textId="77777777" w:rsidR="00EE2675" w:rsidRPr="00EE2675" w:rsidRDefault="00EE2675" w:rsidP="00EE2675">
      <w:r w:rsidRPr="00EE2675">
        <w:t xml:space="preserve">Applicants who have defaulted on any credit obligation in the last </w:t>
      </w:r>
      <w:r w:rsidRPr="00EE2675">
        <w:rPr>
          <w:b/>
          <w:bCs/>
        </w:rPr>
        <w:t>3 years</w:t>
      </w:r>
      <w:r w:rsidRPr="00EE2675">
        <w:t xml:space="preserve"> are </w:t>
      </w:r>
      <w:r w:rsidRPr="00EE2675">
        <w:rPr>
          <w:b/>
          <w:bCs/>
        </w:rPr>
        <w:t>not eligible</w:t>
      </w:r>
      <w:r w:rsidRPr="00EE2675">
        <w:t xml:space="preserve"> for personal or unsecured loans.</w:t>
      </w:r>
    </w:p>
    <w:p w14:paraId="12317F98" w14:textId="77777777" w:rsidR="00EE2675" w:rsidRPr="00EE2675" w:rsidRDefault="00EE2675" w:rsidP="00EE2675">
      <w:r w:rsidRPr="00EE2675">
        <w:pict w14:anchorId="147C7281">
          <v:rect id="_x0000_i1056" style="width:0;height:1.5pt" o:hralign="center" o:hrstd="t" o:hr="t" fillcolor="#a0a0a0" stroked="f"/>
        </w:pict>
      </w:r>
    </w:p>
    <w:p w14:paraId="0FF89FF2" w14:textId="77777777" w:rsidR="00EE2675" w:rsidRPr="00EE2675" w:rsidRDefault="00EE2675" w:rsidP="00EE2675">
      <w:pPr>
        <w:rPr>
          <w:b/>
          <w:bCs/>
        </w:rPr>
      </w:pPr>
      <w:r w:rsidRPr="00EE2675">
        <w:rPr>
          <w:rFonts w:ascii="Segoe UI Emoji" w:hAnsi="Segoe UI Emoji" w:cs="Segoe UI Emoji"/>
          <w:b/>
          <w:bCs/>
        </w:rPr>
        <w:t>🔹</w:t>
      </w:r>
      <w:r w:rsidRPr="00EE2675">
        <w:rPr>
          <w:b/>
          <w:bCs/>
        </w:rPr>
        <w:t xml:space="preserve"> Section 3: Record-Keeping and Audit Guidelines</w:t>
      </w:r>
    </w:p>
    <w:p w14:paraId="501CC375" w14:textId="77777777" w:rsidR="00EE2675" w:rsidRPr="00EE2675" w:rsidRDefault="00EE2675" w:rsidP="00EE2675">
      <w:r w:rsidRPr="00EE2675">
        <w:t xml:space="preserve">3.1 </w:t>
      </w:r>
      <w:r w:rsidRPr="00EE2675">
        <w:rPr>
          <w:b/>
          <w:bCs/>
        </w:rPr>
        <w:t>Document Archival Policy</w:t>
      </w:r>
    </w:p>
    <w:p w14:paraId="7A833059" w14:textId="77777777" w:rsidR="00EE2675" w:rsidRPr="00EE2675" w:rsidRDefault="00EE2675" w:rsidP="00EE2675">
      <w:r w:rsidRPr="00EE2675">
        <w:t xml:space="preserve">All financial transaction records must be stored for </w:t>
      </w:r>
      <w:r w:rsidRPr="00EE2675">
        <w:rPr>
          <w:b/>
          <w:bCs/>
        </w:rPr>
        <w:t>a minimum of 10 years</w:t>
      </w:r>
      <w:r w:rsidRPr="00EE2675">
        <w:t>, preferably in immutable format (e.g., blockchain or WORM storage).</w:t>
      </w:r>
    </w:p>
    <w:p w14:paraId="15E2C62A" w14:textId="77777777" w:rsidR="00EE2675" w:rsidRPr="00EE2675" w:rsidRDefault="00EE2675" w:rsidP="00EE2675">
      <w:r w:rsidRPr="00EE2675">
        <w:t xml:space="preserve">3.2 </w:t>
      </w:r>
      <w:r w:rsidRPr="00EE2675">
        <w:rPr>
          <w:b/>
          <w:bCs/>
        </w:rPr>
        <w:t>Audit Frequency</w:t>
      </w:r>
    </w:p>
    <w:p w14:paraId="37D8E83D" w14:textId="77777777" w:rsidR="00EE2675" w:rsidRPr="00EE2675" w:rsidRDefault="00EE2675" w:rsidP="00EE2675">
      <w:r w:rsidRPr="00EE2675">
        <w:t xml:space="preserve">Internal compliance audits must be conducted at least </w:t>
      </w:r>
      <w:r w:rsidRPr="00EE2675">
        <w:rPr>
          <w:b/>
          <w:bCs/>
        </w:rPr>
        <w:t>once every 6 months</w:t>
      </w:r>
      <w:r w:rsidRPr="00EE2675">
        <w:t>. Findings must be submitted to the central compliance system.</w:t>
      </w:r>
    </w:p>
    <w:p w14:paraId="175241BB" w14:textId="77777777" w:rsidR="00EE2675" w:rsidRPr="00EE2675" w:rsidRDefault="00EE2675" w:rsidP="00EE2675">
      <w:r w:rsidRPr="00EE2675">
        <w:t xml:space="preserve">3.3 </w:t>
      </w:r>
      <w:r w:rsidRPr="00EE2675">
        <w:rPr>
          <w:b/>
          <w:bCs/>
        </w:rPr>
        <w:t>Tamper Detection</w:t>
      </w:r>
    </w:p>
    <w:p w14:paraId="49B0670B" w14:textId="77777777" w:rsidR="00EE2675" w:rsidRPr="00EE2675" w:rsidRDefault="00EE2675" w:rsidP="00EE2675">
      <w:r w:rsidRPr="00EE2675">
        <w:t>All logs must support tamper-evident features. Manual override of logs without audit trace is prohibited.</w:t>
      </w:r>
    </w:p>
    <w:p w14:paraId="0F6DEF1C" w14:textId="77777777" w:rsidR="00EE2675" w:rsidRPr="00EE2675" w:rsidRDefault="00EE2675" w:rsidP="00EE2675">
      <w:r w:rsidRPr="00EE2675">
        <w:pict w14:anchorId="05417C02">
          <v:rect id="_x0000_i1057" style="width:0;height:1.5pt" o:hralign="center" o:hrstd="t" o:hr="t" fillcolor="#a0a0a0" stroked="f"/>
        </w:pict>
      </w:r>
    </w:p>
    <w:p w14:paraId="077ABE0C" w14:textId="77777777" w:rsidR="00EE2675" w:rsidRPr="00EE2675" w:rsidRDefault="00EE2675" w:rsidP="00EE2675">
      <w:pPr>
        <w:rPr>
          <w:b/>
          <w:bCs/>
        </w:rPr>
      </w:pPr>
      <w:r w:rsidRPr="00EE2675">
        <w:rPr>
          <w:rFonts w:ascii="Segoe UI Emoji" w:hAnsi="Segoe UI Emoji" w:cs="Segoe UI Emoji"/>
          <w:b/>
          <w:bCs/>
        </w:rPr>
        <w:t>🔹</w:t>
      </w:r>
      <w:r w:rsidRPr="00EE2675">
        <w:rPr>
          <w:b/>
          <w:bCs/>
        </w:rPr>
        <w:t xml:space="preserve"> Section 4: Customer Consent and Communication</w:t>
      </w:r>
    </w:p>
    <w:p w14:paraId="0AD980AB" w14:textId="77777777" w:rsidR="00EE2675" w:rsidRPr="00EE2675" w:rsidRDefault="00EE2675" w:rsidP="00EE2675">
      <w:r w:rsidRPr="00EE2675">
        <w:t xml:space="preserve">4.1 </w:t>
      </w:r>
      <w:r w:rsidRPr="00EE2675">
        <w:rPr>
          <w:b/>
          <w:bCs/>
        </w:rPr>
        <w:t>Marketing Opt-In</w:t>
      </w:r>
    </w:p>
    <w:p w14:paraId="5529DD56" w14:textId="77777777" w:rsidR="00EE2675" w:rsidRPr="00EE2675" w:rsidRDefault="00EE2675" w:rsidP="00EE2675">
      <w:r w:rsidRPr="00EE2675">
        <w:t xml:space="preserve">Customers must </w:t>
      </w:r>
      <w:r w:rsidRPr="00EE2675">
        <w:rPr>
          <w:b/>
          <w:bCs/>
        </w:rPr>
        <w:t>opt-in explicitly</w:t>
      </w:r>
      <w:r w:rsidRPr="00EE2675">
        <w:t xml:space="preserve"> for all marketing communications. Pre-ticked checkboxes do not qualify as consent.</w:t>
      </w:r>
    </w:p>
    <w:p w14:paraId="421D1571" w14:textId="77777777" w:rsidR="00EE2675" w:rsidRPr="00EE2675" w:rsidRDefault="00EE2675" w:rsidP="00EE2675">
      <w:r w:rsidRPr="00EE2675">
        <w:t xml:space="preserve">4.2 </w:t>
      </w:r>
      <w:r w:rsidRPr="00EE2675">
        <w:rPr>
          <w:b/>
          <w:bCs/>
        </w:rPr>
        <w:t>Policy Updates</w:t>
      </w:r>
    </w:p>
    <w:p w14:paraId="70CC6AC9" w14:textId="77777777" w:rsidR="00EE2675" w:rsidRPr="00EE2675" w:rsidRDefault="00EE2675" w:rsidP="00EE2675">
      <w:r w:rsidRPr="00EE2675">
        <w:t xml:space="preserve">Any changes in data usage or retention policy must be communicated to customers </w:t>
      </w:r>
      <w:r w:rsidRPr="00EE2675">
        <w:rPr>
          <w:b/>
          <w:bCs/>
        </w:rPr>
        <w:t>at least 30 days prior</w:t>
      </w:r>
      <w:r w:rsidRPr="00EE2675">
        <w:t xml:space="preserve"> to enforcement.</w:t>
      </w:r>
    </w:p>
    <w:p w14:paraId="6D299FF2" w14:textId="77777777" w:rsidR="00EE2675" w:rsidRPr="00EE2675" w:rsidRDefault="00EE2675" w:rsidP="00EE2675">
      <w:r w:rsidRPr="00EE2675">
        <w:t xml:space="preserve">4.3 </w:t>
      </w:r>
      <w:r w:rsidRPr="00EE2675">
        <w:rPr>
          <w:b/>
          <w:bCs/>
        </w:rPr>
        <w:t>Grievance Redressal SLA</w:t>
      </w:r>
    </w:p>
    <w:p w14:paraId="70E9FBBA" w14:textId="77777777" w:rsidR="00EE2675" w:rsidRPr="00EE2675" w:rsidRDefault="00EE2675" w:rsidP="00EE2675">
      <w:r w:rsidRPr="00EE2675">
        <w:t xml:space="preserve">All customer grievances must be acknowledged within </w:t>
      </w:r>
      <w:r w:rsidRPr="00EE2675">
        <w:rPr>
          <w:b/>
          <w:bCs/>
        </w:rPr>
        <w:t>48 hours</w:t>
      </w:r>
      <w:r w:rsidRPr="00EE2675">
        <w:t xml:space="preserve"> and resolved within </w:t>
      </w:r>
      <w:r w:rsidRPr="00EE2675">
        <w:rPr>
          <w:b/>
          <w:bCs/>
        </w:rPr>
        <w:t>7 working days</w:t>
      </w:r>
      <w:r w:rsidRPr="00EE2675">
        <w:t>.</w:t>
      </w:r>
    </w:p>
    <w:p w14:paraId="5B6AEF4D" w14:textId="77777777" w:rsidR="00EE2675" w:rsidRPr="00EE2675" w:rsidRDefault="00EE2675" w:rsidP="00EE2675">
      <w:r w:rsidRPr="00EE2675">
        <w:pict w14:anchorId="3C3F1498">
          <v:rect id="_x0000_i1058" style="width:0;height:1.5pt" o:hralign="center" o:hrstd="t" o:hr="t" fillcolor="#a0a0a0" stroked="f"/>
        </w:pict>
      </w:r>
    </w:p>
    <w:p w14:paraId="306B49FF" w14:textId="77777777" w:rsidR="00EE2675" w:rsidRPr="00EE2675" w:rsidRDefault="00EE2675" w:rsidP="00EE2675">
      <w:pPr>
        <w:rPr>
          <w:b/>
          <w:bCs/>
        </w:rPr>
      </w:pPr>
      <w:r w:rsidRPr="00EE2675">
        <w:rPr>
          <w:rFonts w:ascii="Segoe UI Emoji" w:hAnsi="Segoe UI Emoji" w:cs="Segoe UI Emoji"/>
          <w:b/>
          <w:bCs/>
        </w:rPr>
        <w:t>🔹</w:t>
      </w:r>
      <w:r w:rsidRPr="00EE2675">
        <w:rPr>
          <w:b/>
          <w:bCs/>
        </w:rPr>
        <w:t xml:space="preserve"> Section 5: Regulatory Reporting and Escalation</w:t>
      </w:r>
    </w:p>
    <w:p w14:paraId="1F027A21" w14:textId="77777777" w:rsidR="00EE2675" w:rsidRPr="00EE2675" w:rsidRDefault="00EE2675" w:rsidP="00EE2675">
      <w:r w:rsidRPr="00EE2675">
        <w:t xml:space="preserve">5.1 </w:t>
      </w:r>
      <w:r w:rsidRPr="00EE2675">
        <w:rPr>
          <w:b/>
          <w:bCs/>
        </w:rPr>
        <w:t>Reporting Obligations</w:t>
      </w:r>
    </w:p>
    <w:p w14:paraId="3D140A32" w14:textId="77777777" w:rsidR="00EE2675" w:rsidRPr="00EE2675" w:rsidRDefault="00EE2675" w:rsidP="00EE2675">
      <w:r w:rsidRPr="00EE2675">
        <w:t xml:space="preserve">Suspicious financial activities exceeding ₹10,00,000 must be reported to </w:t>
      </w:r>
      <w:r w:rsidRPr="00EE2675">
        <w:rPr>
          <w:b/>
          <w:bCs/>
        </w:rPr>
        <w:t>FIU-IND</w:t>
      </w:r>
      <w:r w:rsidRPr="00EE2675">
        <w:t xml:space="preserve"> within </w:t>
      </w:r>
      <w:r w:rsidRPr="00EE2675">
        <w:rPr>
          <w:b/>
          <w:bCs/>
        </w:rPr>
        <w:t>24 hours</w:t>
      </w:r>
      <w:r w:rsidRPr="00EE2675">
        <w:t xml:space="preserve"> of detection.</w:t>
      </w:r>
    </w:p>
    <w:p w14:paraId="44D80192" w14:textId="77777777" w:rsidR="00EE2675" w:rsidRPr="00EE2675" w:rsidRDefault="00EE2675" w:rsidP="00EE2675">
      <w:r w:rsidRPr="00EE2675">
        <w:lastRenderedPageBreak/>
        <w:t xml:space="preserve">5.2 </w:t>
      </w:r>
      <w:r w:rsidRPr="00EE2675">
        <w:rPr>
          <w:b/>
          <w:bCs/>
        </w:rPr>
        <w:t>Escalation Matrix</w:t>
      </w:r>
    </w:p>
    <w:p w14:paraId="2DC11CFA" w14:textId="77777777" w:rsidR="00EE2675" w:rsidRPr="00EE2675" w:rsidRDefault="00EE2675" w:rsidP="00EE2675">
      <w:r w:rsidRPr="00EE2675">
        <w:t xml:space="preserve">Any regulatory breach must follow a </w:t>
      </w:r>
      <w:r w:rsidRPr="00EE2675">
        <w:rPr>
          <w:b/>
          <w:bCs/>
        </w:rPr>
        <w:t>3-level escalation protocol</w:t>
      </w:r>
      <w:r w:rsidRPr="00EE2675">
        <w:t>:</w:t>
      </w:r>
      <w:r w:rsidRPr="00EE2675">
        <w:br/>
        <w:t>→ Level 1: Internal Compliance Officer</w:t>
      </w:r>
      <w:r w:rsidRPr="00EE2675">
        <w:br/>
        <w:t>→ Level 2: Chief Compliance Officer</w:t>
      </w:r>
      <w:r w:rsidRPr="00EE2675">
        <w:br/>
        <w:t>→ Level 3: Independent Regulator (e.g., RBI, SEBI)</w:t>
      </w:r>
    </w:p>
    <w:p w14:paraId="64815B9D" w14:textId="77777777" w:rsidR="00EE2675" w:rsidRPr="00EE2675" w:rsidRDefault="00EE2675" w:rsidP="00EE2675">
      <w:r w:rsidRPr="00EE2675">
        <w:t xml:space="preserve">5.3 </w:t>
      </w:r>
      <w:r w:rsidRPr="00EE2675">
        <w:rPr>
          <w:b/>
          <w:bCs/>
        </w:rPr>
        <w:t>Whistleblower Protection</w:t>
      </w:r>
    </w:p>
    <w:p w14:paraId="51A48A19" w14:textId="77777777" w:rsidR="00EE2675" w:rsidRPr="00EE2675" w:rsidRDefault="00EE2675" w:rsidP="00EE2675">
      <w:r w:rsidRPr="00EE2675">
        <w:t xml:space="preserve">Employees reporting regulatory violations shall be protected under the </w:t>
      </w:r>
      <w:r w:rsidRPr="00EE2675">
        <w:rPr>
          <w:b/>
          <w:bCs/>
        </w:rPr>
        <w:t>Bank’s Whistleblower Policy</w:t>
      </w:r>
      <w:r w:rsidRPr="00EE2675">
        <w:t xml:space="preserve"> and no punitive action may be taken against them.</w:t>
      </w:r>
    </w:p>
    <w:p w14:paraId="67B4F718" w14:textId="4EAECBA0" w:rsidR="00EE2675" w:rsidRDefault="00EE2675">
      <w:r w:rsidRPr="00EE2675">
        <w:pict w14:anchorId="5B05EA14">
          <v:rect id="_x0000_i1059" style="width:0;height:1.5pt" o:hralign="center" o:hrstd="t" o:hr="t" fillcolor="#a0a0a0" stroked="f"/>
        </w:pict>
      </w:r>
    </w:p>
    <w:sectPr w:rsidR="00EE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664B4"/>
    <w:multiLevelType w:val="multilevel"/>
    <w:tmpl w:val="3E2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9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2"/>
    <w:rsid w:val="004C44E7"/>
    <w:rsid w:val="006677E4"/>
    <w:rsid w:val="006D5B07"/>
    <w:rsid w:val="00B55035"/>
    <w:rsid w:val="00C64F20"/>
    <w:rsid w:val="00C94062"/>
    <w:rsid w:val="00DD1448"/>
    <w:rsid w:val="00E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6628"/>
  <w15:chartTrackingRefBased/>
  <w15:docId w15:val="{F13D92E9-B9D0-4164-B2FC-CAB8840A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Ravi Ranjan</cp:lastModifiedBy>
  <cp:revision>9</cp:revision>
  <dcterms:created xsi:type="dcterms:W3CDTF">2025-05-14T13:49:00Z</dcterms:created>
  <dcterms:modified xsi:type="dcterms:W3CDTF">2025-05-14T13:52:00Z</dcterms:modified>
</cp:coreProperties>
</file>