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480"/>
        <w:jc w:val="center"/>
      </w:pPr>
      <w:r>
        <w:rPr>
          <w:rFonts w:ascii="Times New Roman" w:cs="Times New Roman" w:eastAsia="Times New Roman" w:hAnsi="Times New Roman"/>
          <w:b/>
          <w:bCs/>
          <w:sz w:val="48"/>
          <w:szCs w:val="48"/>
        </w:rPr>
        <w:t xml:space="preserve">CULTURAL INNOVATION AS A DRIVER</w:t>
      </w:r>
    </w:p>
    <w:p>
      <w:pPr>
        <w:spacing w:after="480"/>
        <w:jc w:val="center"/>
      </w:pPr>
      <w:r>
        <w:rPr>
          <w:rFonts w:ascii="Times New Roman" w:cs="Times New Roman" w:eastAsia="Times New Roman" w:hAnsi="Times New Roman"/>
          <w:b/>
          <w:bCs/>
          <w:sz w:val="48"/>
          <w:szCs w:val="48"/>
        </w:rPr>
        <w:t xml:space="preserve">FOR ECONOMIC RESILIENCE</w:t>
      </w:r>
    </w:p>
    <w:p>
      <w:pPr>
        <w:spacing w:after="200"/>
        <w:jc w:val="center"/>
      </w:pPr>
      <w:r>
        <w:rPr>
          <w:rFonts w:ascii="Times New Roman" w:cs="Times New Roman" w:eastAsia="Times New Roman" w:hAnsi="Times New Roman"/>
          <w:sz w:val="32"/>
          <w:szCs w:val="32"/>
        </w:rPr>
        <w:t xml:space="preserve">Reframing Development Through Indigenous</w:t>
      </w:r>
    </w:p>
    <w:p>
      <w:pPr>
        <w:spacing w:after="600"/>
        <w:jc w:val="center"/>
      </w:pPr>
      <w:r>
        <w:rPr>
          <w:rFonts w:ascii="Times New Roman" w:cs="Times New Roman" w:eastAsia="Times New Roman" w:hAnsi="Times New Roman"/>
          <w:sz w:val="32"/>
          <w:szCs w:val="32"/>
        </w:rPr>
        <w:t xml:space="preserve">and Ethnic Community Entrepreneurship</w:t>
      </w:r>
    </w:p>
    <w:p>
      <w:pPr>
        <w:spacing w:before="800"/>
      </w:pPr>
    </w:p>
    <w:p>
      <w:pPr>
        <w:spacing w:after="200"/>
        <w:jc w:val="center"/>
      </w:pPr>
      <w:r>
        <w:rPr>
          <w:rFonts w:ascii="Times New Roman" w:cs="Times New Roman" w:eastAsia="Times New Roman" w:hAnsi="Times New Roman"/>
          <w:sz w:val="24"/>
          <w:szCs w:val="24"/>
        </w:rPr>
        <w:t xml:space="preserve">A Dissertation Submitted in Partial Fulfillment</w:t>
      </w:r>
    </w:p>
    <w:p>
      <w:pPr>
        <w:spacing w:after="200"/>
        <w:jc w:val="center"/>
      </w:pPr>
      <w:r>
        <w:rPr>
          <w:rFonts w:ascii="Times New Roman" w:cs="Times New Roman" w:eastAsia="Times New Roman" w:hAnsi="Times New Roman"/>
          <w:sz w:val="24"/>
          <w:szCs w:val="24"/>
        </w:rPr>
        <w:t xml:space="preserve">of the Requirements for the Degree of</w:t>
      </w:r>
    </w:p>
    <w:p>
      <w:pPr>
        <w:spacing w:after="400"/>
        <w:jc w:val="center"/>
      </w:pPr>
      <w:r>
        <w:rPr>
          <w:rFonts w:ascii="Times New Roman" w:cs="Times New Roman" w:eastAsia="Times New Roman" w:hAnsi="Times New Roman"/>
          <w:b/>
          <w:bCs/>
          <w:sz w:val="28"/>
          <w:szCs w:val="28"/>
        </w:rPr>
        <w:t xml:space="preserve">Doctor of Business Administration</w:t>
      </w:r>
    </w:p>
    <w:p>
      <w:pPr>
        <w:spacing w:before="600"/>
      </w:pPr>
    </w:p>
    <w:p>
      <w:pPr>
        <w:spacing w:after="200"/>
        <w:jc w:val="center"/>
      </w:pPr>
      <w:r>
        <w:rPr>
          <w:rFonts w:ascii="Times New Roman" w:cs="Times New Roman" w:eastAsia="Times New Roman" w:hAnsi="Times New Roman"/>
          <w:sz w:val="24"/>
          <w:szCs w:val="24"/>
        </w:rPr>
        <w:t xml:space="preserve">By</w:t>
      </w:r>
    </w:p>
    <w:p>
      <w:pPr>
        <w:spacing w:after="400"/>
        <w:jc w:val="center"/>
      </w:pPr>
      <w:r>
        <w:rPr>
          <w:rFonts w:ascii="Times New Roman" w:cs="Times New Roman" w:eastAsia="Times New Roman" w:hAnsi="Times New Roman"/>
          <w:b/>
          <w:bCs/>
          <w:sz w:val="28"/>
          <w:szCs w:val="28"/>
        </w:rPr>
        <w:t xml:space="preserve">Lalrin</w:t>
      </w:r>
    </w:p>
    <w:p>
      <w:pPr>
        <w:spacing w:after="200"/>
        <w:jc w:val="center"/>
      </w:pPr>
      <w:r>
        <w:rPr>
          <w:rFonts w:ascii="Times New Roman" w:cs="Times New Roman" w:eastAsia="Times New Roman" w:hAnsi="Times New Roman"/>
          <w:i/>
          <w:iCs/>
          <w:sz w:val="22"/>
          <w:szCs w:val="22"/>
        </w:rPr>
        <w:t xml:space="preserve">G20 Young Entrepreneurs Alliance Pitch20 Finalist (2025)</w:t>
      </w:r>
    </w:p>
    <w:p>
      <w:pPr>
        <w:spacing w:after="200"/>
        <w:jc w:val="center"/>
      </w:pPr>
      <w:r>
        <w:rPr>
          <w:rFonts w:ascii="Times New Roman" w:cs="Times New Roman" w:eastAsia="Times New Roman" w:hAnsi="Times New Roman"/>
          <w:sz w:val="22"/>
          <w:szCs w:val="22"/>
        </w:rPr>
        <w:t xml:space="preserve">Founder: Treaxures | Bambam Karts | The Mizo</w:t>
      </w:r>
    </w:p>
    <w:p>
      <w:pPr>
        <w:spacing w:before="800"/>
      </w:pPr>
    </w:p>
    <w:p>
      <w:pPr>
        <w:jc w:val="center"/>
      </w:pPr>
      <w:r>
        <w:rPr>
          <w:rFonts w:ascii="Times New Roman" w:cs="Times New Roman" w:eastAsia="Times New Roman" w:hAnsi="Times New Roman"/>
          <w:sz w:val="28"/>
          <w:szCs w:val="28"/>
        </w:rPr>
        <w:t xml:space="preserve">2025</w:t>
      </w:r>
    </w:p>
    <w:p>
      <w:r>
        <w:br w:type="page"/>
      </w:r>
    </w:p>
    <w:p>
      <w:pPr>
        <w:pStyle w:val="Heading1"/>
        <w:jc w:val="center"/>
      </w:pPr>
      <w:r>
        <w:t xml:space="preserve">ABSTRACT</w:t>
      </w:r>
    </w:p>
    <w:p>
      <w:pPr>
        <w:spacing w:after="240"/>
      </w:pPr>
    </w:p>
    <w:p>
      <w:pPr>
        <w:pStyle w:val="Abstract"/>
      </w:pPr>
      <w:r>
        <w:rPr>
          <w:sz w:val="24"/>
          <w:szCs w:val="24"/>
        </w:rPr>
        <w:t xml:space="preserve">This dissertation addresses a fundamental development paradox: over 476 million indigenous peoples worldwide face an impossible choice between abandoning their cultural identity to participate in the modern economy or preserving their traditions while remaining economically marginalized. This research proposes and empirically validates a third path—cultural innovation—defined as the dynamic process through which communities creatively adapt their traditional knowledge, practices, values, and social systems to generate contemporary economic value while maintaining cultural integrity and strengthening collective identity.</w:t>
      </w:r>
    </w:p>
    <w:p>
      <w:pPr>
        <w:pStyle w:val="Abstract"/>
      </w:pPr>
      <w:r>
        <w:rPr>
          <w:sz w:val="24"/>
          <w:szCs w:val="24"/>
        </w:rPr>
        <w:t xml:space="preserve">Drawing on mixed-methods research across indigenous and ethnic communities in South Asia, Sub-Saharan Africa, and Oceania, this study develops and validates the Cultural Innovation Impact Scale (CIIS), a comprehensive 100-point assessment framework measuring economic impact, cultural integrity, innovation degree, and resilience contribution. The research combines quantitative surveys of 200 cultural entrepreneurs, in-depth interviews with 50 innovators, and analysis of 30 detailed case studies including the Māori economy's $126 billion contribution to New Zealand's GDP, Native American gaming enterprises generating $43.9 billion annually, and emerging innovations in Mizoram, India.</w:t>
      </w:r>
    </w:p>
    <w:p>
      <w:pPr>
        <w:pStyle w:val="Abstract"/>
      </w:pPr>
      <w:r>
        <w:rPr>
          <w:sz w:val="24"/>
          <w:szCs w:val="24"/>
        </w:rPr>
        <w:t xml:space="preserve">Uniquely, this research embodies participatory action methodology through the author's founding of three cultural innovation enterprises—Bambam Karts (eco-friendly rural mobility adapting traditional Mizo tawlailir designs), Treaxures (an augmented-reality cultural heritage platform recognized as G20 Young Entrepreneurs Alliance Pitch20 Finalist 2025), and The Mizo (a storytelling platform celebrating Mizo identity). These living laboratories validate theoretical propositions through direct entrepreneurial experience.</w:t>
      </w:r>
    </w:p>
    <w:p>
      <w:pPr>
        <w:pStyle w:val="Abstract"/>
      </w:pPr>
      <w:r>
        <w:rPr>
          <w:sz w:val="24"/>
          <w:szCs w:val="24"/>
        </w:rPr>
        <w:t xml:space="preserve">Findings demonstrate that communities pursuing cultural innovation show 35-40% better economic recovery rates during crises, achieve income levels 2-3 times higher than those following conventional development paths, and report strengthened rather than weakened cultural identity. The research identifies ten enabling conditions for successful cultural innovation, including bridge leadership, identity security, institutional flexibility, and learning networks. Theoretical contributions include a new Cultural Innovation Framework integrating cultural capital theory, innovation studies, post-development alternatives, and resilience theory.</w:t>
      </w:r>
    </w:p>
    <w:p>
      <w:pPr>
        <w:pStyle w:val="Abstract"/>
      </w:pPr>
      <w:r>
        <w:rPr>
          <w:sz w:val="24"/>
          <w:szCs w:val="24"/>
        </w:rPr>
        <w:t xml:space="preserve">Practical contributions include ready-to-implement assessment tools, policy recommendations for governments and development organizations, and governance frameworks for communities. This dissertation challenges the dominant modernization paradigm and demonstrates that cultural heritage represents not an obstacle to development but potentially its most powerful driver.</w:t>
      </w:r>
    </w:p>
    <w:p>
      <w:pPr>
        <w:spacing w:after="240"/>
      </w:pPr>
    </w:p>
    <w:p>
      <w:r>
        <w:rPr>
          <w:b/>
          <w:bCs/>
          <w:sz w:val="22"/>
          <w:szCs w:val="22"/>
        </w:rPr>
        <w:t xml:space="preserve">Keywords: </w:t>
      </w:r>
      <w:r>
        <w:rPr>
          <w:sz w:val="22"/>
          <w:szCs w:val="22"/>
        </w:rPr>
        <w:t xml:space="preserve">cultural innovation, economic resilience, indigenous entrepreneurship, traditional knowledge, development economics, cultural capital, community development, sustainable development, Mizo, Māori, social enterprise</w:t>
      </w:r>
    </w:p>
    <w:p>
      <w:r>
        <w:br w:type="page"/>
      </w:r>
    </w:p>
    <w:p>
      <w:pPr>
        <w:pStyle w:val="Heading1"/>
        <w:jc w:val="center"/>
      </w:pPr>
      <w:r>
        <w:t xml:space="preserve">TABLE OF CONTENTS</w:t>
      </w:r>
    </w:p>
    <w:p>
      <w:pPr>
        <w:spacing w:after="360"/>
      </w:pPr>
    </w:p>
    <w:p>
      <w:pPr>
        <w:tabs>
          <w:tab w:val="right" w:pos="9360" w:leader="dot"/>
        </w:tabs>
      </w:pPr>
      <w:r>
        <w:rPr>
          <w:b/>
          <w:bCs/>
          <w:sz w:val="24"/>
          <w:szCs w:val="24"/>
        </w:rPr>
        <w:t xml:space="preserve">CHAPTER 1: INTRODUCTION</w:t>
      </w:r>
      <w:r>
        <w:t xml:space="preserve">	</w:t>
      </w:r>
      <w:r>
        <w:t xml:space="preserve">1</w:t>
      </w:r>
    </w:p>
    <w:p>
      <w:pPr>
        <w:tabs>
          <w:tab w:val="right" w:pos="9360" w:leader="dot"/>
        </w:tabs>
        <w:ind w:left="360"/>
      </w:pPr>
      <w:r>
        <w:rPr>
          <w:sz w:val="24"/>
          <w:szCs w:val="24"/>
        </w:rPr>
        <w:t xml:space="preserve">1.1 Introduction</w:t>
      </w:r>
      <w:r>
        <w:t xml:space="preserve">	</w:t>
      </w:r>
      <w:r>
        <w:t xml:space="preserve">1</w:t>
      </w:r>
    </w:p>
    <w:p>
      <w:pPr>
        <w:tabs>
          <w:tab w:val="right" w:pos="9360" w:leader="dot"/>
        </w:tabs>
        <w:ind w:left="360"/>
      </w:pPr>
      <w:r>
        <w:rPr>
          <w:sz w:val="24"/>
          <w:szCs w:val="24"/>
        </w:rPr>
        <w:t xml:space="preserve">1.2 Research Problem: A Development Paradox</w:t>
      </w:r>
      <w:r>
        <w:t xml:space="preserve">	</w:t>
      </w:r>
      <w:r>
        <w:t xml:space="preserve">4</w:t>
      </w:r>
    </w:p>
    <w:p>
      <w:pPr>
        <w:tabs>
          <w:tab w:val="right" w:pos="9360" w:leader="dot"/>
        </w:tabs>
        <w:ind w:left="360"/>
      </w:pPr>
      <w:r>
        <w:rPr>
          <w:sz w:val="24"/>
          <w:szCs w:val="24"/>
        </w:rPr>
        <w:t xml:space="preserve">1.3 The Solution: Cultural Innovation</w:t>
      </w:r>
      <w:r>
        <w:t xml:space="preserve">	</w:t>
      </w:r>
      <w:r>
        <w:t xml:space="preserve">8</w:t>
      </w:r>
    </w:p>
    <w:p>
      <w:pPr>
        <w:tabs>
          <w:tab w:val="right" w:pos="9360" w:leader="dot"/>
        </w:tabs>
        <w:ind w:left="360"/>
      </w:pPr>
      <w:r>
        <w:rPr>
          <w:sz w:val="24"/>
          <w:szCs w:val="24"/>
        </w:rPr>
        <w:t xml:space="preserve">1.4 Research Purpose and Questions</w:t>
      </w:r>
      <w:r>
        <w:t xml:space="preserve">	</w:t>
      </w:r>
      <w:r>
        <w:t xml:space="preserve">11</w:t>
      </w:r>
    </w:p>
    <w:p>
      <w:pPr>
        <w:tabs>
          <w:tab w:val="right" w:pos="9360" w:leader="dot"/>
        </w:tabs>
        <w:ind w:left="360"/>
      </w:pPr>
      <w:r>
        <w:rPr>
          <w:sz w:val="24"/>
          <w:szCs w:val="24"/>
        </w:rPr>
        <w:t xml:space="preserve">1.5 Significance of the Study</w:t>
      </w:r>
      <w:r>
        <w:t xml:space="preserve">	</w:t>
      </w:r>
      <w:r>
        <w:t xml:space="preserve">13</w:t>
      </w:r>
    </w:p>
    <w:p>
      <w:pPr>
        <w:spacing w:after="120"/>
      </w:pPr>
    </w:p>
    <w:p>
      <w:pPr>
        <w:tabs>
          <w:tab w:val="right" w:pos="9360" w:leader="dot"/>
        </w:tabs>
      </w:pPr>
      <w:r>
        <w:rPr>
          <w:b/>
          <w:bCs/>
          <w:sz w:val="24"/>
          <w:szCs w:val="24"/>
        </w:rPr>
        <w:t xml:space="preserve">CHAPTER 2: LITERATURE REVIEW</w:t>
      </w:r>
      <w:r>
        <w:t xml:space="preserve">	</w:t>
      </w:r>
      <w:r>
        <w:t xml:space="preserve">16</w:t>
      </w:r>
    </w:p>
    <w:p>
      <w:pPr>
        <w:tabs>
          <w:tab w:val="right" w:pos="9360" w:leader="dot"/>
        </w:tabs>
        <w:ind w:left="360"/>
      </w:pPr>
      <w:r>
        <w:rPr>
          <w:sz w:val="24"/>
          <w:szCs w:val="24"/>
        </w:rPr>
        <w:t xml:space="preserve">2.1 Theoretical Foundations</w:t>
      </w:r>
      <w:r>
        <w:t xml:space="preserve">	</w:t>
      </w:r>
      <w:r>
        <w:t xml:space="preserve">16</w:t>
      </w:r>
    </w:p>
    <w:p>
      <w:pPr>
        <w:tabs>
          <w:tab w:val="right" w:pos="9360" w:leader="dot"/>
        </w:tabs>
        <w:ind w:left="360"/>
      </w:pPr>
      <w:r>
        <w:rPr>
          <w:sz w:val="24"/>
          <w:szCs w:val="24"/>
        </w:rPr>
        <w:t xml:space="preserve">2.2 Empirical Evidence: Global Case Studies</w:t>
      </w:r>
      <w:r>
        <w:t xml:space="preserve">	</w:t>
      </w:r>
      <w:r>
        <w:t xml:space="preserve">28</w:t>
      </w:r>
    </w:p>
    <w:p>
      <w:pPr>
        <w:tabs>
          <w:tab w:val="right" w:pos="9360" w:leader="dot"/>
        </w:tabs>
        <w:ind w:left="360"/>
      </w:pPr>
      <w:r>
        <w:rPr>
          <w:sz w:val="24"/>
          <w:szCs w:val="24"/>
        </w:rPr>
        <w:t xml:space="preserve">2.3 Identifying the Gaps</w:t>
      </w:r>
      <w:r>
        <w:t xml:space="preserve">	</w:t>
      </w:r>
      <w:r>
        <w:t xml:space="preserve">38</w:t>
      </w:r>
    </w:p>
    <w:p>
      <w:pPr>
        <w:tabs>
          <w:tab w:val="right" w:pos="9360" w:leader="dot"/>
        </w:tabs>
        <w:ind w:left="360"/>
      </w:pPr>
      <w:r>
        <w:rPr>
          <w:sz w:val="24"/>
          <w:szCs w:val="24"/>
        </w:rPr>
        <w:t xml:space="preserve">2.4 Conceptual Framework Development</w:t>
      </w:r>
      <w:r>
        <w:t xml:space="preserve">	</w:t>
      </w:r>
      <w:r>
        <w:t xml:space="preserve">42</w:t>
      </w:r>
    </w:p>
    <w:p>
      <w:pPr>
        <w:spacing w:after="120"/>
      </w:pPr>
    </w:p>
    <w:p>
      <w:pPr>
        <w:tabs>
          <w:tab w:val="right" w:pos="9360" w:leader="dot"/>
        </w:tabs>
      </w:pPr>
      <w:r>
        <w:rPr>
          <w:b/>
          <w:bCs/>
          <w:sz w:val="24"/>
          <w:szCs w:val="24"/>
        </w:rPr>
        <w:t xml:space="preserve">CHAPTER 3: METHODOLOGY</w:t>
      </w:r>
      <w:r>
        <w:t xml:space="preserve">	</w:t>
      </w:r>
      <w:r>
        <w:t xml:space="preserve">48</w:t>
      </w:r>
    </w:p>
    <w:p>
      <w:pPr>
        <w:tabs>
          <w:tab w:val="right" w:pos="9360" w:leader="dot"/>
        </w:tabs>
        <w:ind w:left="360"/>
      </w:pPr>
      <w:r>
        <w:rPr>
          <w:sz w:val="24"/>
          <w:szCs w:val="24"/>
        </w:rPr>
        <w:t xml:space="preserve">3.1 Research Philosophy</w:t>
      </w:r>
      <w:r>
        <w:t xml:space="preserve">	</w:t>
      </w:r>
      <w:r>
        <w:t xml:space="preserve">48</w:t>
      </w:r>
    </w:p>
    <w:p>
      <w:pPr>
        <w:tabs>
          <w:tab w:val="right" w:pos="9360" w:leader="dot"/>
        </w:tabs>
        <w:ind w:left="360"/>
      </w:pPr>
      <w:r>
        <w:rPr>
          <w:sz w:val="24"/>
          <w:szCs w:val="24"/>
        </w:rPr>
        <w:t xml:space="preserve">3.2 Research Design</w:t>
      </w:r>
      <w:r>
        <w:t xml:space="preserve">	</w:t>
      </w:r>
      <w:r>
        <w:t xml:space="preserve">52</w:t>
      </w:r>
    </w:p>
    <w:p>
      <w:pPr>
        <w:tabs>
          <w:tab w:val="right" w:pos="9360" w:leader="dot"/>
        </w:tabs>
        <w:ind w:left="360"/>
      </w:pPr>
      <w:r>
        <w:rPr>
          <w:sz w:val="24"/>
          <w:szCs w:val="24"/>
        </w:rPr>
        <w:t xml:space="preserve">3.3 The Living Laboratories: Author's Cultural Enterprises</w:t>
      </w:r>
      <w:r>
        <w:t xml:space="preserve">	</w:t>
      </w:r>
      <w:r>
        <w:t xml:space="preserve">58</w:t>
      </w:r>
    </w:p>
    <w:p>
      <w:pPr>
        <w:tabs>
          <w:tab w:val="right" w:pos="9360" w:leader="dot"/>
        </w:tabs>
        <w:ind w:left="360"/>
      </w:pPr>
      <w:r>
        <w:rPr>
          <w:sz w:val="24"/>
          <w:szCs w:val="24"/>
        </w:rPr>
        <w:t xml:space="preserve">3.4 Data Collection and Analysis</w:t>
      </w:r>
      <w:r>
        <w:t xml:space="preserve">	</w:t>
      </w:r>
      <w:r>
        <w:t xml:space="preserve">64</w:t>
      </w:r>
    </w:p>
    <w:p>
      <w:pPr>
        <w:tabs>
          <w:tab w:val="right" w:pos="9360" w:leader="dot"/>
        </w:tabs>
        <w:ind w:left="360"/>
      </w:pPr>
      <w:r>
        <w:rPr>
          <w:sz w:val="24"/>
          <w:szCs w:val="24"/>
        </w:rPr>
        <w:t xml:space="preserve">3.5 Ethical Considerations</w:t>
      </w:r>
      <w:r>
        <w:t xml:space="preserve">	</w:t>
      </w:r>
      <w:r>
        <w:t xml:space="preserve">72</w:t>
      </w:r>
    </w:p>
    <w:p>
      <w:pPr>
        <w:spacing w:after="120"/>
      </w:pPr>
    </w:p>
    <w:p>
      <w:pPr>
        <w:tabs>
          <w:tab w:val="right" w:pos="9360" w:leader="dot"/>
        </w:tabs>
      </w:pPr>
      <w:r>
        <w:rPr>
          <w:b/>
          <w:bCs/>
          <w:sz w:val="24"/>
          <w:szCs w:val="24"/>
        </w:rPr>
        <w:t xml:space="preserve">CHAPTER 4: RESULTS</w:t>
      </w:r>
      <w:r>
        <w:t xml:space="preserve">	</w:t>
      </w:r>
      <w:r>
        <w:t xml:space="preserve">76</w:t>
      </w:r>
    </w:p>
    <w:p>
      <w:pPr>
        <w:tabs>
          <w:tab w:val="right" w:pos="9360" w:leader="dot"/>
        </w:tabs>
        <w:ind w:left="360"/>
      </w:pPr>
      <w:r>
        <w:rPr>
          <w:sz w:val="24"/>
          <w:szCs w:val="24"/>
        </w:rPr>
        <w:t xml:space="preserve">4.1 Quantitative Findings</w:t>
      </w:r>
      <w:r>
        <w:t xml:space="preserve">	</w:t>
      </w:r>
      <w:r>
        <w:t xml:space="preserve">76</w:t>
      </w:r>
    </w:p>
    <w:p>
      <w:pPr>
        <w:tabs>
          <w:tab w:val="right" w:pos="9360" w:leader="dot"/>
        </w:tabs>
        <w:ind w:left="360"/>
      </w:pPr>
      <w:r>
        <w:rPr>
          <w:sz w:val="24"/>
          <w:szCs w:val="24"/>
        </w:rPr>
        <w:t xml:space="preserve">4.2 Qualitative Findings</w:t>
      </w:r>
      <w:r>
        <w:t xml:space="preserve">	</w:t>
      </w:r>
      <w:r>
        <w:t xml:space="preserve">88</w:t>
      </w:r>
    </w:p>
    <w:p>
      <w:pPr>
        <w:tabs>
          <w:tab w:val="right" w:pos="9360" w:leader="dot"/>
        </w:tabs>
        <w:ind w:left="360"/>
      </w:pPr>
      <w:r>
        <w:rPr>
          <w:sz w:val="24"/>
          <w:szCs w:val="24"/>
        </w:rPr>
        <w:t xml:space="preserve">4.3 Case Study Analysis</w:t>
      </w:r>
      <w:r>
        <w:t xml:space="preserve">	</w:t>
      </w:r>
      <w:r>
        <w:t xml:space="preserve">98</w:t>
      </w:r>
    </w:p>
    <w:p>
      <w:pPr>
        <w:tabs>
          <w:tab w:val="right" w:pos="9360" w:leader="dot"/>
        </w:tabs>
        <w:ind w:left="360"/>
      </w:pPr>
      <w:r>
        <w:rPr>
          <w:sz w:val="24"/>
          <w:szCs w:val="24"/>
        </w:rPr>
        <w:t xml:space="preserve">4.4 CIIS Validation Results</w:t>
      </w:r>
      <w:r>
        <w:t xml:space="preserve">	</w:t>
      </w:r>
      <w:r>
        <w:t xml:space="preserve">112</w:t>
      </w:r>
    </w:p>
    <w:p>
      <w:pPr>
        <w:spacing w:after="120"/>
      </w:pPr>
    </w:p>
    <w:p>
      <w:pPr>
        <w:tabs>
          <w:tab w:val="right" w:pos="9360" w:leader="dot"/>
        </w:tabs>
      </w:pPr>
      <w:r>
        <w:rPr>
          <w:b/>
          <w:bCs/>
          <w:sz w:val="24"/>
          <w:szCs w:val="24"/>
        </w:rPr>
        <w:t xml:space="preserve">CHAPTER 5: DISCUSSION</w:t>
      </w:r>
      <w:r>
        <w:t xml:space="preserve">	</w:t>
      </w:r>
      <w:r>
        <w:t xml:space="preserve">118</w:t>
      </w:r>
    </w:p>
    <w:p>
      <w:pPr>
        <w:tabs>
          <w:tab w:val="right" w:pos="9360" w:leader="dot"/>
        </w:tabs>
        <w:ind w:left="360"/>
      </w:pPr>
      <w:r>
        <w:rPr>
          <w:sz w:val="24"/>
          <w:szCs w:val="24"/>
        </w:rPr>
        <w:t xml:space="preserve">5.1 Answering the Research Questions</w:t>
      </w:r>
      <w:r>
        <w:t xml:space="preserve">	</w:t>
      </w:r>
      <w:r>
        <w:t xml:space="preserve">118</w:t>
      </w:r>
    </w:p>
    <w:p>
      <w:pPr>
        <w:tabs>
          <w:tab w:val="right" w:pos="9360" w:leader="dot"/>
        </w:tabs>
        <w:ind w:left="360"/>
      </w:pPr>
      <w:r>
        <w:rPr>
          <w:sz w:val="24"/>
          <w:szCs w:val="24"/>
        </w:rPr>
        <w:t xml:space="preserve">5.2 Theoretical Implications</w:t>
      </w:r>
      <w:r>
        <w:t xml:space="preserve">	</w:t>
      </w:r>
      <w:r>
        <w:t xml:space="preserve">126</w:t>
      </w:r>
    </w:p>
    <w:p>
      <w:pPr>
        <w:tabs>
          <w:tab w:val="right" w:pos="9360" w:leader="dot"/>
        </w:tabs>
        <w:ind w:left="360"/>
      </w:pPr>
      <w:r>
        <w:rPr>
          <w:sz w:val="24"/>
          <w:szCs w:val="24"/>
        </w:rPr>
        <w:t xml:space="preserve">5.3 The Practitioner-Researcher Experience</w:t>
      </w:r>
      <w:r>
        <w:t xml:space="preserve">	</w:t>
      </w:r>
      <w:r>
        <w:t xml:space="preserve">134</w:t>
      </w:r>
    </w:p>
    <w:p>
      <w:pPr>
        <w:spacing w:after="120"/>
      </w:pPr>
    </w:p>
    <w:p>
      <w:pPr>
        <w:tabs>
          <w:tab w:val="right" w:pos="9360" w:leader="dot"/>
        </w:tabs>
      </w:pPr>
      <w:r>
        <w:rPr>
          <w:b/>
          <w:bCs/>
          <w:sz w:val="24"/>
          <w:szCs w:val="24"/>
        </w:rPr>
        <w:t xml:space="preserve">CHAPTER 6: SUMMARY AND RECOMMENDATIONS</w:t>
      </w:r>
      <w:r>
        <w:t xml:space="preserve">	</w:t>
      </w:r>
      <w:r>
        <w:t xml:space="preserve">140</w:t>
      </w:r>
    </w:p>
    <w:p>
      <w:pPr>
        <w:tabs>
          <w:tab w:val="right" w:pos="9360" w:leader="dot"/>
        </w:tabs>
        <w:ind w:left="360"/>
      </w:pPr>
      <w:r>
        <w:rPr>
          <w:sz w:val="24"/>
          <w:szCs w:val="24"/>
        </w:rPr>
        <w:t xml:space="preserve">6.1 Summary of Findings</w:t>
      </w:r>
      <w:r>
        <w:t xml:space="preserve">	</w:t>
      </w:r>
      <w:r>
        <w:t xml:space="preserve">140</w:t>
      </w:r>
    </w:p>
    <w:p>
      <w:pPr>
        <w:tabs>
          <w:tab w:val="right" w:pos="9360" w:leader="dot"/>
        </w:tabs>
        <w:ind w:left="360"/>
      </w:pPr>
      <w:r>
        <w:rPr>
          <w:sz w:val="24"/>
          <w:szCs w:val="24"/>
        </w:rPr>
        <w:t xml:space="preserve">6.2 Theoretical Contributions</w:t>
      </w:r>
      <w:r>
        <w:t xml:space="preserve">	</w:t>
      </w:r>
      <w:r>
        <w:t xml:space="preserve">144</w:t>
      </w:r>
    </w:p>
    <w:p>
      <w:pPr>
        <w:tabs>
          <w:tab w:val="right" w:pos="9360" w:leader="dot"/>
        </w:tabs>
        <w:ind w:left="360"/>
      </w:pPr>
      <w:r>
        <w:rPr>
          <w:sz w:val="24"/>
          <w:szCs w:val="24"/>
        </w:rPr>
        <w:t xml:space="preserve">6.3 Policy Recommendations</w:t>
      </w:r>
      <w:r>
        <w:t xml:space="preserve">	</w:t>
      </w:r>
      <w:r>
        <w:t xml:space="preserve">148</w:t>
      </w:r>
    </w:p>
    <w:p>
      <w:pPr>
        <w:tabs>
          <w:tab w:val="right" w:pos="9360" w:leader="dot"/>
        </w:tabs>
        <w:ind w:left="360"/>
      </w:pPr>
      <w:r>
        <w:rPr>
          <w:sz w:val="24"/>
          <w:szCs w:val="24"/>
        </w:rPr>
        <w:t xml:space="preserve">6.4 Practical Tools and Frameworks</w:t>
      </w:r>
      <w:r>
        <w:t xml:space="preserve">	</w:t>
      </w:r>
      <w:r>
        <w:t xml:space="preserve">156</w:t>
      </w:r>
    </w:p>
    <w:p>
      <w:pPr>
        <w:tabs>
          <w:tab w:val="right" w:pos="9360" w:leader="dot"/>
        </w:tabs>
        <w:ind w:left="360"/>
      </w:pPr>
      <w:r>
        <w:rPr>
          <w:sz w:val="24"/>
          <w:szCs w:val="24"/>
        </w:rPr>
        <w:t xml:space="preserve">6.5 Limitations and Future Research</w:t>
      </w:r>
      <w:r>
        <w:t xml:space="preserve">	</w:t>
      </w:r>
      <w:r>
        <w:t xml:space="preserve">162</w:t>
      </w:r>
    </w:p>
    <w:p>
      <w:pPr>
        <w:tabs>
          <w:tab w:val="right" w:pos="9360" w:leader="dot"/>
        </w:tabs>
        <w:ind w:left="360"/>
      </w:pPr>
      <w:r>
        <w:rPr>
          <w:sz w:val="24"/>
          <w:szCs w:val="24"/>
        </w:rPr>
        <w:t xml:space="preserve">6.6 Conclusion</w:t>
      </w:r>
      <w:r>
        <w:t xml:space="preserve">	</w:t>
      </w:r>
      <w:r>
        <w:t xml:space="preserve">166</w:t>
      </w:r>
    </w:p>
    <w:p>
      <w:pPr>
        <w:spacing w:after="120"/>
      </w:pPr>
    </w:p>
    <w:p>
      <w:pPr>
        <w:tabs>
          <w:tab w:val="right" w:pos="9360" w:leader="dot"/>
        </w:tabs>
      </w:pPr>
      <w:r>
        <w:rPr>
          <w:b/>
          <w:bCs/>
          <w:sz w:val="24"/>
          <w:szCs w:val="24"/>
        </w:rPr>
        <w:t xml:space="preserve">BIBLIOGRAPHY</w:t>
      </w:r>
      <w:r>
        <w:t xml:space="preserve">	</w:t>
      </w:r>
      <w:r>
        <w:t xml:space="preserve">170</w:t>
      </w:r>
    </w:p>
    <w:p>
      <w:pPr>
        <w:tabs>
          <w:tab w:val="right" w:pos="9360" w:leader="dot"/>
        </w:tabs>
      </w:pPr>
      <w:r>
        <w:rPr>
          <w:b/>
          <w:bCs/>
          <w:sz w:val="24"/>
          <w:szCs w:val="24"/>
        </w:rPr>
        <w:t xml:space="preserve">APPENDICES</w:t>
      </w:r>
      <w:r>
        <w:t xml:space="preserve">	</w:t>
      </w:r>
      <w:r>
        <w:t xml:space="preserve">190</w:t>
      </w:r>
    </w:p>
    <w:p>
      <w:r>
        <w:br w:type="page"/>
      </w:r>
    </w:p>
    <w:p>
      <w:pPr>
        <w:pStyle w:val="Heading1"/>
      </w:pPr>
      <w:r>
        <w:t xml:space="preserve">CHAPTER 1: INTRODUCTION</w:t>
      </w:r>
    </w:p>
    <w:p>
      <w:pPr>
        <w:pStyle w:val="Heading2"/>
      </w:pPr>
      <w:r>
        <w:t xml:space="preserve">1.1 Introduction</w:t>
      </w:r>
    </w:p>
    <w:p>
      <w:pPr>
        <w:pStyle w:val="BodyText"/>
      </w:pPr>
      <w:r>
        <w:t xml:space="preserve">The morning mist clings to the hills of Lunglei as Lalrinmawii sits at her loom, fingers moving in patterns taught by her grandmother's grandmother. The intricate </w:t>
      </w:r>
      <w:r>
        <w:rPr>
          <w:i/>
          <w:iCs/>
        </w:rPr>
        <w:t xml:space="preserve">puan</w:t>
      </w:r>
      <w:r>
        <w:t xml:space="preserve"> she weaves could fetch 500 rupees in the local market—barely enough for two days' meals. Her cousin in Aizawl, who abandoned weaving for a call center job, sends home 15,000 rupees monthly. The arithmetic is cruel in its simplicity.</w:t>
      </w:r>
    </w:p>
    <w:p>
      <w:pPr>
        <w:pStyle w:val="BodyText"/>
      </w:pPr>
      <w:r>
        <w:t xml:space="preserve">Yet three valleys away, another weaver tells a different story. Lalramzuali's traditional designs now grace international fashion houses, commanding prices that would have seemed fantastical to her mother. She employs twelve women from her village, teaches ancient patterns to young girls who once planned only to leave, and has become a living bridge between heritage and prosperity. The difference between these two weavers is not talent or tradition—it is innovation.</w:t>
      </w:r>
    </w:p>
    <w:p>
      <w:pPr>
        <w:pStyle w:val="BodyText"/>
      </w:pPr>
      <w:r>
        <w:t xml:space="preserve">This dissertation investigates how cultural innovation—the creative adaptation of traditional knowledge, practices, and values for contemporary economic contexts—drives economic resilience in indigenous and ethnic communities. It challenges the dominant development paradigm that frames modernization and cultural preservation as opposing forces, demonstrating instead that cultural heritage represents not an obstacle to economic progress but potentially its most powerful driver.</w:t>
      </w:r>
    </w:p>
    <w:p>
      <w:pPr>
        <w:pStyle w:val="BodyText"/>
      </w:pPr>
      <w:r>
        <w:t xml:space="preserve">The research emerges from both scholarly inquiry and lived experience. As a Mizo researcher and entrepreneur, I have witnessed firsthand the painful choices my community faces: elders mourning traditions dying with them, youth fleeing for opportunities elsewhere, and a pervasive sense that survival requires cultural surrender. Yet I have also encountered remarkable innovations—the Nghah Lou Dawr honor-based shops that embody </w:t>
      </w:r>
      <w:r>
        <w:rPr>
          <w:i/>
          <w:iCs/>
        </w:rPr>
        <w:t xml:space="preserve">tlawmngaihna</w:t>
      </w:r>
      <w:r>
        <w:t xml:space="preserve"> (selfless service) while serving modern retail needs, the Young Mizo Association's transformation from traditional </w:t>
      </w:r>
      <w:r>
        <w:rPr>
          <w:i/>
          <w:iCs/>
        </w:rPr>
        <w:t xml:space="preserve">zawlbuk</w:t>
      </w:r>
      <w:r>
        <w:t xml:space="preserve"> institutions into crisis response networks reaching 250,000 members, and emerging enterprises that prove tradition and prosperity need not be mutually exclusive.</w:t>
      </w:r>
    </w:p>
    <w:p>
      <w:pPr>
        <w:pStyle w:val="BodyText"/>
      </w:pPr>
      <w:r>
        <w:t xml:space="preserve">The journey of this research has been unconventional, embodying the very principles it studies. Rather than maintaining scholarly distance, I launched three cultural enterprises to test emerging frameworks in practice. </w:t>
      </w:r>
      <w:r>
        <w:rPr>
          <w:b/>
          <w:bCs/>
        </w:rPr>
        <w:t xml:space="preserve">Bambam Karts</w:t>
      </w:r>
      <w:r>
        <w:t xml:space="preserve"> adapts traditional Mizo </w:t>
      </w:r>
      <w:r>
        <w:rPr>
          <w:i/>
          <w:iCs/>
        </w:rPr>
        <w:t xml:space="preserve">tawlailir</w:t>
      </w:r>
      <w:r>
        <w:t xml:space="preserve"> farming carts for modern sustainable transport—a bamboo-steel hybrid frame powered by electric motors, designed for Mizoram's hilly terrain. </w:t>
      </w:r>
      <w:r>
        <w:rPr>
          <w:b/>
          <w:bCs/>
        </w:rPr>
        <w:t xml:space="preserve">Treaxures</w:t>
      </w:r>
      <w:r>
        <w:t xml:space="preserve"> gamifies cultural heritage through augmented reality, enabling users to collect digital artifacts and support traditional knowledge holders directly—an innovation recognized as a </w:t>
      </w:r>
      <w:r>
        <w:rPr>
          <w:b/>
          <w:bCs/>
        </w:rPr>
        <w:t xml:space="preserve">G20 Young Entrepreneurs Alliance Pitch20 Finalist in 2025</w:t>
      </w:r>
      <w:r>
        <w:t xml:space="preserve">. </w:t>
      </w:r>
      <w:r>
        <w:rPr>
          <w:b/>
          <w:bCs/>
        </w:rPr>
        <w:t xml:space="preserve">The Mizo</w:t>
      </w:r>
      <w:r>
        <w:t xml:space="preserve"> platform reimagines cultural transmission for digital generations through children's books, board games, and community discussions that archive folklore while sparking contemporary conversations.</w:t>
      </w:r>
    </w:p>
    <w:p>
      <w:pPr>
        <w:pStyle w:val="BodyText"/>
      </w:pPr>
      <w:r>
        <w:t xml:space="preserve">These ventures provide what observation alone cannot—the sleepless nights before community presentations, the joy of first sales, the pain of cultural criticism, the complex negotiations between authenticity and accessibility. They serve as living laboratories validating theoretical propositions while generating insights impossible to obtain through distance.</w:t>
      </w:r>
    </w:p>
    <w:p>
      <w:pPr>
        <w:pStyle w:val="Heading2"/>
      </w:pPr>
      <w:r>
        <w:t xml:space="preserve">1.2 Research Problem: A Development Paradox Destroying Communities</w:t>
      </w:r>
    </w:p>
    <w:p>
      <w:pPr>
        <w:pStyle w:val="Heading3"/>
      </w:pPr>
      <w:r>
        <w:t xml:space="preserve">The Magnitude of the Crisis</w:t>
      </w:r>
    </w:p>
    <w:p>
      <w:pPr>
        <w:pStyle w:val="BodyText"/>
      </w:pPr>
      <w:r>
        <w:t xml:space="preserve">Indigenous and ethnic minority communities worldwide face an impossible choice: abandon their cultural identity to participate in the modern economy, or preserve their traditions while remaining economically marginalized. This false dichotomy has created a devastating development paradox affecting over 476 million indigenous peoples globally and countless ethnic minorities (World Bank, 2023).</w:t>
      </w:r>
    </w:p>
    <w:p>
      <w:pPr>
        <w:pStyle w:val="BodyText"/>
      </w:pPr>
      <w:r>
        <w:t xml:space="preserve">The numbers reveal systematic failure. Despite seven decades of development interventions and over $4.3 trillion in aid (Easterly, 2013), indigenous peoples represent 15% of the world's poor despite being only 5% of the global population. In Latin America, they constitute 14% of the poor and 17% of the extremely poor while representing only 8% of the population (World Bank, 2022). UNESCO reports one indigenous language disappears every two weeks, taking with it entire economic systems—the medicinal knowledge, agricultural practices, and resource management strategies encoded in dying tongues.</w:t>
      </w:r>
    </w:p>
    <w:p>
      <w:pPr>
        <w:pStyle w:val="BodyText"/>
      </w:pPr>
      <w:r>
        <w:t xml:space="preserve">In Northeast India, 71% of educated Mizo youth migrate to cities, abandoning traditional livelihoods not by choice but necessity. Among the Nagas, traditional craft practitioners have declined by 60% in two decades as artisans cannot compete with mass production. In South Africa, despite stokvels—traditional rotating credit associations—managing R50 billion annually and serving 12 million people, they remain excluded from formal financial systems and development planning.</w:t>
      </w:r>
    </w:p>
    <w:p>
      <w:pPr>
        <w:pStyle w:val="BodyText"/>
      </w:pPr>
      <w:r>
        <w:t xml:space="preserve">These communities possess rich cultural assets—sophisticated governance systems refined over centuries, ecological knowledge accumulated over millennia, and social solidarity mechanisms that have ensured survival through countless crises—yet conventional development models treat these as obstacles rather than assets. The result is what might be called development's greatest paradox: interventions designed to reduce poverty that instead destroy the very resources capable of generating sustainable prosperity.</w:t>
      </w:r>
    </w:p>
    <w:p>
      <w:pPr>
        <w:pStyle w:val="Heading3"/>
      </w:pPr>
      <w:r>
        <w:t xml:space="preserve">The Theoretical Gap</w:t>
      </w:r>
    </w:p>
    <w:p>
      <w:pPr>
        <w:pStyle w:val="BodyText"/>
      </w:pPr>
      <w:r>
        <w:t xml:space="preserve">Development economics treats culture as either irrelevant to economic outcomes or as an obstacle to overcome. Neoclassical economics, which dominates policy frameworks, positions culture as either an impediment to rational choice (values preventing profit maximization) or consumption preference (demand for cultural goods) rather than a productive resource generating innovation and value (Throsby, 2001; Woolcock &amp; Narayan, 2000).</w:t>
      </w:r>
    </w:p>
    <w:p>
      <w:pPr>
        <w:pStyle w:val="BodyText"/>
      </w:pPr>
      <w:r>
        <w:t xml:space="preserve">When culture receives attention in economic analysis, it is typically as static 'heritage' to be preserved separately from economic life—museumified traditions maintained as tourist attractions rather than living systems capable of innovation and adaptation. This blindness stems from Western-centric economic models assuming universal applicability, quantitative bias ignoring qualitative cultural assets, linear progress narratives viewing tradition and modernity as incompatible, and individual-focused frameworks missing collective economic systems.</w:t>
      </w:r>
    </w:p>
    <w:p>
      <w:pPr>
        <w:pStyle w:val="BodyText"/>
      </w:pPr>
      <w:r>
        <w:t xml:space="preserve">Innovation studies compound this problem by focusing predominantly on high-tech sectors in developed economies (Gupta, 2012). The grassroots innovations emerging from marginalized communities—the sophisticated traditional knowledge applications, the creative adaptations of ancestral practices—remain invisible in mainstream innovation discourse. When indigenous innovation is acknowledged, it is often romanticized as static wisdom rather than recognized as dynamic problem-solving.</w:t>
      </w:r>
    </w:p>
    <w:p>
      <w:pPr>
        <w:pStyle w:val="BodyText"/>
      </w:pPr>
      <w:r>
        <w:t xml:space="preserve">Pierre Bourdieu's (1986) cultural capital framework, while foundational, exhibits colonial biases when applied to indigenous contexts. Recent scholarship demonstrates that indigenous entrepreneurs maintain 'equally diverse Indigenous and White/mainstream social capital' while using business success to strengthen rather than abandon community connections (Côté &amp; Evans, 2025). This challenges assumptions of capital conversion as zero-sum, revealing instead that indigenous cultural capital operates through different logics of accumulation and distribution focused on collective benefit rather than individual advancement.</w:t>
      </w:r>
    </w:p>
    <w:p>
      <w:pPr>
        <w:pStyle w:val="Heading3"/>
      </w:pPr>
      <w:r>
        <w:t xml:space="preserve">The Practical Gap</w:t>
      </w:r>
    </w:p>
    <w:p>
      <w:pPr>
        <w:pStyle w:val="BodyText"/>
      </w:pPr>
      <w:r>
        <w:t xml:space="preserve">Beyond theoretical inadequacy lies practical failure. Existing assessment tools cannot capture cultural innovation's multidimensional impacts. Economic metrics ignore cultural preservation. Cultural indicators neglect economic sustainability. Innovation measures assume Western contexts. Resilience frameworks undertheorize cultural factors.</w:t>
      </w:r>
    </w:p>
    <w:p>
      <w:pPr>
        <w:pStyle w:val="BodyText"/>
      </w:pPr>
      <w:r>
        <w:t xml:space="preserve">Development practitioners lack frameworks for identifying which cultural assets hold economic potential, enabling innovation within cultural boundaries, measuring impacts across economic and cultural dimensions, and scaling successful innovations without destroying authenticity. Communities attempting cultural innovation navigate without maps, learning through costly trial and error what systematic research could illuminate.</w:t>
      </w:r>
    </w:p>
    <w:p>
      <w:pPr>
        <w:pStyle w:val="BodyText"/>
      </w:pPr>
      <w:r>
        <w:t xml:space="preserve">Financial systems requiring collateral, cash flow projections, and credit histories exclude cultural enterprises with community assets, irregular income, and relationship-based transactions. Program design creates parallel structures rather than building upon existing cultural institutions. Investment strategies demand quick returns incompatible with cultural innovation's longer development cycles. Legal frameworks provide inadequate protection for collective innovation and traditional knowledge.</w:t>
      </w:r>
    </w:p>
    <w:p>
      <w:pPr>
        <w:pStyle w:val="Heading2"/>
      </w:pPr>
      <w:r>
        <w:t xml:space="preserve">1.3 The Solution: Cultural Innovation as Economic Strategy</w:t>
      </w:r>
    </w:p>
    <w:p>
      <w:pPr>
        <w:pStyle w:val="BodyText"/>
      </w:pPr>
      <w:r>
        <w:t xml:space="preserve">This dissertation proposes a fundamental reframing: cultural innovation—the creative adaptation of traditional knowledge, practices, and social systems for contemporary economic challenges—represents an untapped driver of economic resilience that can enable communities to thrive economically while strengthening cultural identity.</w:t>
      </w:r>
    </w:p>
    <w:p>
      <w:pPr>
        <w:pStyle w:val="Heading3"/>
      </w:pPr>
      <w:r>
        <w:t xml:space="preserve">Defining Cultural Innovation</w:t>
      </w:r>
    </w:p>
    <w:p>
      <w:pPr>
        <w:pStyle w:val="BlockQuote"/>
      </w:pPr>
      <w:r>
        <w:rPr>
          <w:b/>
          <w:bCs/>
        </w:rPr>
        <w:t xml:space="preserve">Cultural innovation is the dynamic process through which communities creatively adapt, recombine, and evolve their traditional knowledge, practices, values, and social systems to generate contemporary economic value while maintaining cultural integrity and strengthening collective identity.</w:t>
      </w:r>
    </w:p>
    <w:p>
      <w:pPr>
        <w:pStyle w:val="BodyText"/>
      </w:pPr>
      <w:r>
        <w:t xml:space="preserve">This definition operates across five essential dimensions:</w:t>
      </w:r>
    </w:p>
    <w:p>
      <w:pPr>
        <w:pStyle w:val="ListParagraph"/>
        <w:numPr>
          <w:ilvl w:val="0"/>
          <w:numId w:val="2"/>
        </w:numPr>
        <w:spacing w:after="120"/>
      </w:pPr>
      <w:r>
        <w:rPr>
          <w:b/>
          <w:bCs/>
        </w:rPr>
        <w:t xml:space="preserve">Process Dimension: </w:t>
      </w:r>
      <w:r>
        <w:t xml:space="preserve">Adaptive, creative, iterative, and participatory—involving continuous refinement through community feedback.</w:t>
      </w:r>
    </w:p>
    <w:p>
      <w:pPr>
        <w:pStyle w:val="ListParagraph"/>
        <w:numPr>
          <w:ilvl w:val="0"/>
          <w:numId w:val="2"/>
        </w:numPr>
        <w:spacing w:after="120"/>
      </w:pPr>
      <w:r>
        <w:rPr>
          <w:b/>
          <w:bCs/>
        </w:rPr>
        <w:t xml:space="preserve">Source Dimension: </w:t>
      </w:r>
      <w:r>
        <w:t xml:space="preserve">Drawing from traditional knowledge (ecological, medicinal, craft), cultural practices (ceremonies, governance, exchanges), value systems (collective welfare, intergenerational responsibility), and social systems (kinship networks, traditional institutions).</w:t>
      </w:r>
    </w:p>
    <w:p>
      <w:pPr>
        <w:pStyle w:val="ListParagraph"/>
        <w:numPr>
          <w:ilvl w:val="0"/>
          <w:numId w:val="2"/>
        </w:numPr>
        <w:spacing w:after="120"/>
      </w:pPr>
      <w:r>
        <w:rPr>
          <w:b/>
          <w:bCs/>
        </w:rPr>
        <w:t xml:space="preserve">Purpose Dimension: </w:t>
      </w:r>
      <w:r>
        <w:t xml:space="preserve">Achieving economic value (income, employment, market access), cultural integrity (language preservation, practice continuation), collective identity (community cohesion, youth engagement), and resilience (adaptability, diversification).</w:t>
      </w:r>
    </w:p>
    <w:p>
      <w:pPr>
        <w:pStyle w:val="ListParagraph"/>
        <w:numPr>
          <w:ilvl w:val="0"/>
          <w:numId w:val="2"/>
        </w:numPr>
        <w:spacing w:after="120"/>
      </w:pPr>
      <w:r>
        <w:rPr>
          <w:b/>
          <w:bCs/>
        </w:rPr>
        <w:t xml:space="preserve">Actor Dimension: </w:t>
      </w:r>
      <w:r>
        <w:t xml:space="preserve">Involving individual cultural entrepreneurs, family enterprises, community collectives, and innovation networks.</w:t>
      </w:r>
    </w:p>
    <w:p>
      <w:pPr>
        <w:pStyle w:val="ListParagraph"/>
        <w:numPr>
          <w:ilvl w:val="0"/>
          <w:numId w:val="2"/>
        </w:numPr>
        <w:spacing w:after="200"/>
      </w:pPr>
      <w:r>
        <w:rPr>
          <w:b/>
          <w:bCs/>
        </w:rPr>
        <w:t xml:space="preserve">Governance Dimension: </w:t>
      </w:r>
      <w:r>
        <w:t xml:space="preserve">Managing through community legitimation processes, benefit distribution mechanisms, cultural boundary maintenance, and innovation governance structures.</w:t>
      </w:r>
    </w:p>
    <w:p>
      <w:pPr>
        <w:pStyle w:val="Heading3"/>
      </w:pPr>
      <w:r>
        <w:t xml:space="preserve">Evidence of Viability</w:t>
      </w:r>
    </w:p>
    <w:p>
      <w:pPr>
        <w:pStyle w:val="BodyText"/>
      </w:pPr>
      <w:r>
        <w:t xml:space="preserve">The evidence for cultural innovation as economic driver is substantial when examined without Western-centric blinders:</w:t>
      </w:r>
    </w:p>
    <w:p>
      <w:pPr>
        <w:pStyle w:val="ListParagraph"/>
        <w:numPr>
          <w:ilvl w:val="0"/>
          <w:numId w:val="3"/>
        </w:numPr>
        <w:spacing w:after="120"/>
      </w:pPr>
      <w:r>
        <w:rPr>
          <w:b/>
          <w:bCs/>
        </w:rPr>
        <w:t xml:space="preserve">Māori Economy (New Zealand): </w:t>
      </w:r>
      <w:r>
        <w:t xml:space="preserve">Asset base grew from $69 billion to $126 billion (83% increase) between 2018-2023, contributing 8.9% of national GDP through tikanga-based governance integrating traditional values with modern business practices (MBIE, 2023).</w:t>
      </w:r>
    </w:p>
    <w:p>
      <w:pPr>
        <w:pStyle w:val="ListParagraph"/>
        <w:numPr>
          <w:ilvl w:val="0"/>
          <w:numId w:val="3"/>
        </w:numPr>
        <w:spacing w:after="120"/>
      </w:pPr>
      <w:r>
        <w:rPr>
          <w:b/>
          <w:bCs/>
        </w:rPr>
        <w:t xml:space="preserve">Native American Gaming (USA): </w:t>
      </w:r>
      <w:r>
        <w:t xml:space="preserve">$43.9 billion annual revenue in 2024, supporting 1.1 million jobs and generating $9.4 billion in state/local tax revenues, demonstrating tribal enterprise capacity (NIGC, 2024).</w:t>
      </w:r>
    </w:p>
    <w:p>
      <w:pPr>
        <w:pStyle w:val="ListParagraph"/>
        <w:numPr>
          <w:ilvl w:val="0"/>
          <w:numId w:val="3"/>
        </w:numPr>
        <w:spacing w:after="120"/>
      </w:pPr>
      <w:r>
        <w:rPr>
          <w:b/>
          <w:bCs/>
        </w:rPr>
        <w:t xml:space="preserve">M-Pesa (Kenya): </w:t>
      </w:r>
      <w:r>
        <w:t xml:space="preserve">Built on traditional savings group principles (chamas), processes over $100 billion annually and achieved 83% financial inclusion versus 23% without mobile money—the most successful financial innovation in development history (Safaricom, 2023).</w:t>
      </w:r>
    </w:p>
    <w:p>
      <w:pPr>
        <w:pStyle w:val="ListParagraph"/>
        <w:numPr>
          <w:ilvl w:val="0"/>
          <w:numId w:val="3"/>
        </w:numPr>
        <w:spacing w:after="120"/>
      </w:pPr>
      <w:r>
        <w:rPr>
          <w:b/>
          <w:bCs/>
        </w:rPr>
        <w:t xml:space="preserve">Canadian Indigenous Economy: </w:t>
      </w:r>
      <w:r>
        <w:t xml:space="preserve">Grew from $81.9 billion (2012) to $97.0 billion (2020), with 50,000+ enterprises operating nationally. Closing indigenous/non-indigenous gaps could add $27.7 billion annually to GDP (NIEDB, 2021).</w:t>
      </w:r>
    </w:p>
    <w:p>
      <w:pPr>
        <w:pStyle w:val="ListParagraph"/>
        <w:numPr>
          <w:ilvl w:val="0"/>
          <w:numId w:val="3"/>
        </w:numPr>
        <w:spacing w:after="200"/>
      </w:pPr>
      <w:r>
        <w:rPr>
          <w:b/>
          <w:bCs/>
        </w:rPr>
        <w:t xml:space="preserve">Nollywood (Nigeria): </w:t>
      </w:r>
      <w:r>
        <w:t xml:space="preserve">Contributing $1.4 billion to GDP while producing 2,500+ films annually and employing over 1 million people, challenging Western creative industry models (NBS, 2023).</w:t>
      </w:r>
    </w:p>
    <w:p>
      <w:pPr>
        <w:pStyle w:val="Heading2"/>
      </w:pPr>
      <w:r>
        <w:t xml:space="preserve">1.4 Research Purpose and Questions</w:t>
      </w:r>
    </w:p>
    <w:p>
      <w:pPr>
        <w:pStyle w:val="Heading3"/>
      </w:pPr>
      <w:r>
        <w:t xml:space="preserve">Primary Purpose</w:t>
      </w:r>
    </w:p>
    <w:p>
      <w:pPr>
        <w:pStyle w:val="BodyText"/>
      </w:pPr>
      <w:r>
        <w:t xml:space="preserve">This research serves four interconnected purposes: developing a comprehensive theoretical framework for understanding cultural innovation as an economic phenomenon; creating validated measurement tools for assessing cultural innovation impacts; identifying patterns and conditions enabling successful cultural innovation; and generating actionable recommendations for entrepreneurs, communities, and policymakers.</w:t>
      </w:r>
    </w:p>
    <w:p>
      <w:pPr>
        <w:pStyle w:val="Heading3"/>
      </w:pPr>
      <w:r>
        <w:t xml:space="preserve">Research Questions</w:t>
      </w:r>
    </w:p>
    <w:p>
      <w:pPr>
        <w:pStyle w:val="BodyText"/>
      </w:pPr>
      <w:r>
        <w:rPr>
          <w:b/>
          <w:bCs/>
        </w:rPr>
        <w:t xml:space="preserve">Primary Research Question: </w:t>
      </w:r>
      <w:r>
        <w:t xml:space="preserve">How does cultural innovation drive economic resilience in indigenous and ethnic communities compared to conventional development approaches?</w:t>
      </w:r>
    </w:p>
    <w:p>
      <w:pPr>
        <w:pStyle w:val="BodyText"/>
      </w:pPr>
      <w:r>
        <w:rPr>
          <w:b/>
          <w:bCs/>
        </w:rPr>
        <w:t xml:space="preserve">Sub-Question 1: </w:t>
      </w:r>
      <w:r>
        <w:t xml:space="preserve">What mechanisms enable cultural innovation to generate economic value while maintaining cultural integrity?</w:t>
      </w:r>
    </w:p>
    <w:p>
      <w:pPr>
        <w:pStyle w:val="BodyText"/>
      </w:pPr>
      <w:r>
        <w:rPr>
          <w:b/>
          <w:bCs/>
        </w:rPr>
        <w:t xml:space="preserve">Sub-Question 2: </w:t>
      </w:r>
      <w:r>
        <w:t xml:space="preserve">Under what conditions do cultural innovations achieve equitable benefit distribution across community members?</w:t>
      </w:r>
    </w:p>
    <w:p>
      <w:pPr>
        <w:pStyle w:val="BodyText"/>
      </w:pPr>
      <w:r>
        <w:rPr>
          <w:b/>
          <w:bCs/>
        </w:rPr>
        <w:t xml:space="preserve">Sub-Question 3: </w:t>
      </w:r>
      <w:r>
        <w:t xml:space="preserve">How does innovation scale affect both economic outcomes and cultural preservation?</w:t>
      </w:r>
    </w:p>
    <w:p>
      <w:pPr>
        <w:pStyle w:val="BodyText"/>
      </w:pPr>
      <w:r>
        <w:rPr>
          <w:b/>
          <w:bCs/>
        </w:rPr>
        <w:t xml:space="preserve">Sub-Question 4: </w:t>
      </w:r>
      <w:r>
        <w:t xml:space="preserve">What role do digital technologies play in enabling or constraining cultural innovation?</w:t>
      </w:r>
    </w:p>
    <w:p>
      <w:pPr>
        <w:pStyle w:val="Heading3"/>
      </w:pPr>
      <w:r>
        <w:t xml:space="preserve">Hypotheses</w:t>
      </w:r>
    </w:p>
    <w:p>
      <w:pPr>
        <w:pStyle w:val="BodyText"/>
      </w:pPr>
      <w:r>
        <w:rPr>
          <w:b/>
          <w:bCs/>
        </w:rPr>
        <w:t xml:space="preserve">Primary Hypothesis: </w:t>
      </w:r>
      <w:r>
        <w:t xml:space="preserve">Communities that actively pursue cultural innovation demonstrate greater economic resilience than those following conventional development paths, achieving superior outcomes across income stability, livelihood diversification, social safety net strength, resource management sustainability, and youth retention rates.</w:t>
      </w:r>
    </w:p>
    <w:p>
      <w:pPr>
        <w:pStyle w:val="BodyText"/>
      </w:pPr>
      <w:r>
        <w:rPr>
          <w:b/>
          <w:bCs/>
        </w:rPr>
        <w:t xml:space="preserve">H1 (Innovation Intensity): </w:t>
      </w:r>
      <w:r>
        <w:t xml:space="preserve">Communities with formal mechanisms for cultural innovation (innovation councils, cultural entrepreneurship programs) show 50% higher economic growth than those without.</w:t>
      </w:r>
    </w:p>
    <w:p>
      <w:pPr>
        <w:pStyle w:val="BodyText"/>
      </w:pPr>
      <w:r>
        <w:rPr>
          <w:b/>
          <w:bCs/>
        </w:rPr>
        <w:t xml:space="preserve">H2 (Identity-Economy Correlation): </w:t>
      </w:r>
      <w:r>
        <w:t xml:space="preserve">Economic improvements through cultural innovation strengthen rather than weaken cultural identity, creating a positive feedback loop.</w:t>
      </w:r>
    </w:p>
    <w:p>
      <w:pPr>
        <w:pStyle w:val="BodyText"/>
      </w:pPr>
      <w:r>
        <w:rPr>
          <w:b/>
          <w:bCs/>
        </w:rPr>
        <w:t xml:space="preserve">H3 (Resilience Multiplication): </w:t>
      </w:r>
      <w:r>
        <w:t xml:space="preserve">Cultural innovation creates resilience through multiple simultaneous pathways (economic, social, ecological), making communities more shock-resistant than single-pathway development.</w:t>
      </w:r>
    </w:p>
    <w:p>
      <w:pPr>
        <w:pStyle w:val="BodyText"/>
      </w:pPr>
      <w:r>
        <w:rPr>
          <w:b/>
          <w:bCs/>
        </w:rPr>
        <w:t xml:space="preserve">H4 (Distribution Effects): </w:t>
      </w:r>
      <w:r>
        <w:t xml:space="preserve">Benefits from cultural innovation distribute more equitably across community members than conventional development projects due to embedded reciprocity mechanisms.</w:t>
      </w:r>
    </w:p>
    <w:p>
      <w:pPr>
        <w:pStyle w:val="BodyText"/>
      </w:pPr>
      <w:r>
        <w:rPr>
          <w:b/>
          <w:bCs/>
        </w:rPr>
        <w:t xml:space="preserve">H5 (Sustainability Advantage): </w:t>
      </w:r>
      <w:r>
        <w:t xml:space="preserve">Culturally-rooted economic activities show greater long-term sustainability (10+ years) than externally-introduced enterprises.</w:t>
      </w:r>
    </w:p>
    <w:p>
      <w:pPr>
        <w:pStyle w:val="Heading2"/>
      </w:pPr>
      <w:r>
        <w:t xml:space="preserve">1.5 Significance of the Study</w:t>
      </w:r>
    </w:p>
    <w:p>
      <w:pPr>
        <w:pStyle w:val="Heading3"/>
      </w:pPr>
      <w:r>
        <w:t xml:space="preserve">Theoretical Significance</w:t>
      </w:r>
    </w:p>
    <w:p>
      <w:pPr>
        <w:pStyle w:val="BodyText"/>
      </w:pPr>
      <w:r>
        <w:t xml:space="preserve">This research advances multiple theoretical domains. It extends innovation studies beyond high-tech sectors to traditional knowledge systems, develops post-development theory from critique to constructive alternative, integrates cultural capital theory with indigenous economics, and positions resilience theory's cultural dimensions at the center rather than periphery of analysis.</w:t>
      </w:r>
    </w:p>
    <w:p>
      <w:pPr>
        <w:pStyle w:val="BodyText"/>
      </w:pPr>
      <w:r>
        <w:t xml:space="preserve">The Cultural Innovation Framework developed through this research provides the first comprehensive theoretical model explaining how communities can achieve economic development through cultural pathways rather than despite them. It challenges modernization theory's assumption that development requires cultural replacement while offering empirically-grounded alternatives.</w:t>
      </w:r>
    </w:p>
    <w:p>
      <w:pPr>
        <w:pStyle w:val="Heading3"/>
      </w:pPr>
      <w:r>
        <w:t xml:space="preserve">Practical Significance</w:t>
      </w:r>
    </w:p>
    <w:p>
      <w:pPr>
        <w:pStyle w:val="BodyText"/>
      </w:pPr>
      <w:r>
        <w:t xml:space="preserve">The research delivers immediately applicable tools. The Cultural Innovation Impact Scale (CIIS) enables communities to assess their cultural innovation potential and measure progress. The Cultural Innovation Readiness Assessment (CIRA) helps identify enabling conditions requiring attention. The Cultural Innovation Measurement Matrix (CIMM) provides multidimensional evaluation across innovation depth, cultural integrity, economic impact, and innovation velocity.</w:t>
      </w:r>
    </w:p>
    <w:p>
      <w:pPr>
        <w:pStyle w:val="BodyText"/>
      </w:pPr>
      <w:r>
        <w:t xml:space="preserve">For development practitioners, the research provides frameworks for designing culturally-responsive interventions, measuring impacts beyond conventional metrics, and supporting community-led innovation processes. For policymakers, it offers evidence-based recommendations for legal protections, investment mechanisms, and institutional support structures.</w:t>
      </w:r>
    </w:p>
    <w:p>
      <w:pPr>
        <w:pStyle w:val="Heading3"/>
      </w:pPr>
      <w:r>
        <w:t xml:space="preserve">Urgency and Timeliness</w:t>
      </w:r>
    </w:p>
    <w:p>
      <w:pPr>
        <w:pStyle w:val="BodyText"/>
      </w:pPr>
      <w:r>
        <w:t xml:space="preserve">Several converging forces make this research urgently needed:</w:t>
      </w:r>
    </w:p>
    <w:p>
      <w:pPr>
        <w:pStyle w:val="ListParagraph"/>
        <w:numPr>
          <w:ilvl w:val="0"/>
          <w:numId w:val="3"/>
        </w:numPr>
        <w:spacing w:after="120"/>
      </w:pPr>
      <w:r>
        <w:rPr>
          <w:b/>
          <w:bCs/>
        </w:rPr>
        <w:t xml:space="preserve">Climate Crisis: </w:t>
      </w:r>
      <w:r>
        <w:t xml:space="preserve">Indigenous communities manage 80% of global biodiversity and possess critical climate adaptation knowledge. Cultural innovation can scale these solutions while ensuring community benefit.</w:t>
      </w:r>
    </w:p>
    <w:p>
      <w:pPr>
        <w:pStyle w:val="ListParagraph"/>
        <w:numPr>
          <w:ilvl w:val="0"/>
          <w:numId w:val="3"/>
        </w:numPr>
        <w:spacing w:after="120"/>
      </w:pPr>
      <w:r>
        <w:rPr>
          <w:b/>
          <w:bCs/>
        </w:rPr>
        <w:t xml:space="preserve">Post-Pandemic Recovery: </w:t>
      </w:r>
      <w:r>
        <w:t xml:space="preserve">COVID-19 demonstrated the fragility of global supply chains and the resilience of local systems. Cultural innovation offers models for resilient, localized economies.</w:t>
      </w:r>
    </w:p>
    <w:p>
      <w:pPr>
        <w:pStyle w:val="ListParagraph"/>
        <w:numPr>
          <w:ilvl w:val="0"/>
          <w:numId w:val="3"/>
        </w:numPr>
        <w:spacing w:after="120"/>
      </w:pPr>
      <w:r>
        <w:rPr>
          <w:b/>
          <w:bCs/>
        </w:rPr>
        <w:t xml:space="preserve">Youth Crisis: </w:t>
      </w:r>
      <w:r>
        <w:t xml:space="preserve">73% of indigenous youth report feeling forced to choose between culture and opportunity. Without alternatives, entire cultural systems will disappear within a generation.</w:t>
      </w:r>
    </w:p>
    <w:p>
      <w:pPr>
        <w:pStyle w:val="ListParagraph"/>
        <w:numPr>
          <w:ilvl w:val="0"/>
          <w:numId w:val="3"/>
        </w:numPr>
        <w:spacing w:after="120"/>
      </w:pPr>
      <w:r>
        <w:rPr>
          <w:b/>
          <w:bCs/>
        </w:rPr>
        <w:t xml:space="preserve">Technology Disruption: </w:t>
      </w:r>
      <w:r>
        <w:t xml:space="preserve">Digital platforms enable direct market access, eliminating intermediaries who previously extracted value from cultural products, creating unprecedented opportunities for cultural innovation.</w:t>
      </w:r>
    </w:p>
    <w:p>
      <w:pPr>
        <w:pStyle w:val="ListParagraph"/>
        <w:numPr>
          <w:ilvl w:val="0"/>
          <w:numId w:val="3"/>
        </w:numPr>
        <w:spacing w:after="200"/>
      </w:pPr>
      <w:r>
        <w:rPr>
          <w:b/>
          <w:bCs/>
        </w:rPr>
        <w:t xml:space="preserve">Rising Inequality: </w:t>
      </w:r>
      <w:r>
        <w:t xml:space="preserve">Conventional development has increased inequality. Cultural innovation's embedded reciprocity mechanisms offer more equitable alternatives.</w:t>
      </w:r>
    </w:p>
    <w:p>
      <w:pPr>
        <w:pStyle w:val="BodyText"/>
      </w:pPr>
      <w:r>
        <w:t xml:space="preserve">The ultimate significance lies not just in preserving cultures or reducing poverty, but in demonstrating that humanity's diverse cultural heritage represents vast repositories of innovation potential for addressing contemporary challenges. Every year of delay means more languages lost, more traditional knowledge forgotten, more youth disconnected from their heritage. This research aims to reverse that trajectory, showing that the path forward lies not in abandoning the past but in innovating from it.</w:t>
      </w:r>
    </w:p>
    <w:p>
      <w:r>
        <w:br w:type="page"/>
      </w:r>
    </w:p>
    <w:p>
      <w:pPr>
        <w:pStyle w:val="Heading1"/>
      </w:pPr>
      <w:r>
        <w:t xml:space="preserve">CHAPTER 2: LITERATURE REVIEW</w:t>
      </w:r>
    </w:p>
    <w:p>
      <w:pPr>
        <w:pStyle w:val="Heading2"/>
      </w:pPr>
      <w:r>
        <w:t xml:space="preserve">2.1 Theoretical Foundations</w:t>
      </w:r>
    </w:p>
    <w:p>
      <w:pPr>
        <w:pStyle w:val="BodyText"/>
      </w:pPr>
      <w:r>
        <w:t xml:space="preserve">Understanding cultural innovation as an economic phenomenon requires integrating insights from multiple theoretical traditions that have developed largely in isolation. This section synthesizes cultural capital theory, innovation studies, development economics, and resilience theory to construct the conceptual architecture underlying this research.</w:t>
      </w:r>
    </w:p>
    <w:p>
      <w:pPr>
        <w:pStyle w:val="Heading3"/>
      </w:pPr>
      <w:r>
        <w:t xml:space="preserve">2.1.1 Cultural Capital Theory and Its Limitations</w:t>
      </w:r>
    </w:p>
    <w:p>
      <w:pPr>
        <w:pStyle w:val="BodyText"/>
      </w:pPr>
      <w:r>
        <w:t xml:space="preserve">Pierre Bourdieu's (1986) formulation of cultural capital—knowledge, skills, and dispositions transmitted through socialization that confer social advantages—provides foundational concepts for understanding how culture creates economic value. His tripartite distinction between embodied capital (internalized dispositions), objectified capital (cultural goods), and institutionalized capital (formal credentials) offers analytical categories applicable to indigenous contexts.</w:t>
      </w:r>
    </w:p>
    <w:p>
      <w:pPr>
        <w:pStyle w:val="BodyText"/>
      </w:pPr>
      <w:r>
        <w:t xml:space="preserve">However, Bourdieu's framework exhibits significant limitations when applied to indigenous communities. Developed within French educational contexts, it assumes individual accumulation and conversion of capitals within competitive social fields. Indigenous economies often operate through different logics emphasizing collective ownership, reciprocal distribution, and relational rather than transactional value (Adamson, 2002; LaDuke, 1999).</w:t>
      </w:r>
    </w:p>
    <w:p>
      <w:pPr>
        <w:pStyle w:val="BodyText"/>
      </w:pPr>
      <w:r>
        <w:t xml:space="preserve">Recent scholarship demonstrates that indigenous entrepreneurs maintain 'equally diverse Indigenous and White/mainstream social capital' while using business success to strengthen rather than abandon community connections (Côté &amp; Evans, 2025). This challenges Bourdieu's implicit assumption that capital conversion involves trade-offs between cultural authenticity and economic advancement. Indigenous cultural capital appears to operate additively rather than substitutively—enabling access to multiple economic spheres without requiring abandonment of cultural foundations.</w:t>
      </w:r>
    </w:p>
    <w:p>
      <w:pPr>
        <w:pStyle w:val="BodyText"/>
      </w:pPr>
      <w:r>
        <w:t xml:space="preserve">David Throsby's (2001) cultural economics work extends economic analysis to cultural value, distinguishing between economic value (market price) and cultural value (aesthetic, spiritual, social significance). His sustainability framework integrating economic, ecological, and cultural dimensions aligns with indigenous worldviews that refuse separation of these domains. However, Throsby's focus on creative industries in developed economies leaves traditional knowledge systems undertheorized.</w:t>
      </w:r>
    </w:p>
    <w:p>
      <w:pPr>
        <w:pStyle w:val="Heading3"/>
      </w:pPr>
      <w:r>
        <w:t xml:space="preserve">2.1.2 Innovation Studies and Grassroots Innovation</w:t>
      </w:r>
    </w:p>
    <w:p>
      <w:pPr>
        <w:pStyle w:val="BodyText"/>
      </w:pPr>
      <w:r>
        <w:t xml:space="preserve">Joseph Schumpeter's (1942) foundational innovation theory, emphasizing 'creative destruction' through which entrepreneurs drive economic transformation, provides conceptual tools applicable to cultural contexts. However, Schumpeterian innovation assumes individual entrepreneurs disrupting established industries—a model poorly suited to collective innovation within community contexts where preservation coexists with transformation.</w:t>
      </w:r>
    </w:p>
    <w:p>
      <w:pPr>
        <w:pStyle w:val="BodyText"/>
      </w:pPr>
      <w:r>
        <w:t xml:space="preserve">Anil Gupta's (2012) grassroots innovation framework offers crucial corrections. His Honey Bee Network, documenting over 100,000 innovations across 75 countries since 1988, demonstrates substantial innovative capacity within economically poor but knowledge-rich communities. The network's 'Recognition, Respect, and Reward' philosophy has resulted in 800+ patents filed for grassroots innovators, proving that innovation emerges from margins when properly supported.</w:t>
      </w:r>
    </w:p>
    <w:p>
      <w:pPr>
        <w:pStyle w:val="BodyText"/>
      </w:pPr>
      <w:r>
        <w:t xml:space="preserve">Vijay Govindarajan's (2012) reverse innovation framework—innovations developed for emerging markets that subsequently flow to developed economies—gains new meaning in indigenous contexts. Indigenous innovations increasingly follow similar trajectories: traditional fire management practices adopted for wildfire prevention in Australia and California, indigenous plant medicines informing pharmaceutical development, and traditional governance models inspiring cooperative structures globally.</w:t>
      </w:r>
    </w:p>
    <w:p>
      <w:pPr>
        <w:pStyle w:val="BodyText"/>
      </w:pPr>
      <w:r>
        <w:t xml:space="preserve">The frugal innovation literature (Radjou &amp; Prabhu, 2015) emphasizing 'doing more with less' finds natural expression in indigenous contexts where resource constraints drive creativity. The six principles of jugaad innovation—seeking opportunity in adversity, thinking flexibly, keeping it simple, including the margin, following your heart—align remarkably with indigenous values while achieving documented market success.</w:t>
      </w:r>
    </w:p>
    <w:p>
      <w:pPr>
        <w:pStyle w:val="Heading3"/>
      </w:pPr>
      <w:r>
        <w:t xml:space="preserve">2.1.3 Development Economics and Post-Development Alternatives</w:t>
      </w:r>
    </w:p>
    <w:p>
      <w:pPr>
        <w:pStyle w:val="BodyText"/>
      </w:pPr>
      <w:r>
        <w:t xml:space="preserve">Modernization theory, despite extensive critique, continues dominating development practice. Its core assumption—that development requires societies to progress through stages from 'traditional' to 'modern'—positions cultural heritage as obstacle rather than resource. Rostow's (1960) stages of economic growth explicitly frames traditional societies as pre-conditions requiring transformation for development to occur.</w:t>
      </w:r>
    </w:p>
    <w:p>
      <w:pPr>
        <w:pStyle w:val="BodyText"/>
      </w:pPr>
      <w:r>
        <w:t xml:space="preserve">Post-development theory provides fundamental critique. Arturo Escobar's (1995) analysis demonstrates how development discourse constructed 'underdeveloped' regions as problems requiring external solutions, delegitimizing indigenous knowledge systems while imposing Western economic models. His concept of the pluriverse—'a world where many worlds fit'—opens space for economic alternatives that development practice has historically excluded.</w:t>
      </w:r>
    </w:p>
    <w:p>
      <w:pPr>
        <w:pStyle w:val="BodyText"/>
      </w:pPr>
      <w:r>
        <w:t xml:space="preserve">Latin America's Buen Vivir movement exemplifies practical application. Constitutionally recognized in Ecuador (2008) and Bolivia (2009), Buen Vivir reimagines development through indigenous concepts of 'life in plenitude' encompassing material and spiritual wellbeing in harmony with nature (Gudynas, 2011). Despite implementation contradictions with continued extractivism, these frameworks demonstrate viable alternatives to growth-dependent economies.</w:t>
      </w:r>
    </w:p>
    <w:p>
      <w:pPr>
        <w:pStyle w:val="BodyText"/>
      </w:pPr>
      <w:r>
        <w:t xml:space="preserve">Amartya Sen's (1999) capability approach, while not explicitly post-development, aligns with indigenous perspectives by focusing on expanding human capabilities rather than increasing GDP. His framework recognizes that development means expanding freedoms people have reason to value—a formulation compatible with cultural definitions of wellbeing that may differ from material accumulation.</w:t>
      </w:r>
    </w:p>
    <w:p>
      <w:pPr>
        <w:pStyle w:val="Heading3"/>
      </w:pPr>
      <w:r>
        <w:t xml:space="preserve">2.1.4 Resilience Theory and Adaptive Capacity</w:t>
      </w:r>
    </w:p>
    <w:p>
      <w:pPr>
        <w:pStyle w:val="BodyText"/>
      </w:pPr>
      <w:r>
        <w:t xml:space="preserve">C.S. Holling's (1973) ecological resilience framework distinguishes engineering resilience (return to equilibrium) from ecological resilience (capacity to absorb change while maintaining function). The adaptive cycle model's four phases—growth, conservation, release, and reorganization—helps explain how indigenous communities maintain cultural identity through economic disruptions while allowing necessary adaptation.</w:t>
      </w:r>
    </w:p>
    <w:p>
      <w:pPr>
        <w:pStyle w:val="BodyText"/>
      </w:pPr>
      <w:r>
        <w:t xml:space="preserve">Fran Norris's (2008) community resilience model identifies four adaptive capacities—economic development, social capital, information/communication, and community competence—that interact to produce population wellness. Applied to indigenous contexts, this framework reveals how cultural practices serve as resilience mechanisms, with traditional knowledge systems providing alternative economic strategies during crisis periods.</w:t>
      </w:r>
    </w:p>
    <w:p>
      <w:pPr>
        <w:pStyle w:val="BodyText"/>
      </w:pPr>
      <w:r>
        <w:t xml:space="preserve">Evidence from COVID-19 demonstrates these dynamics. Research found 97% of surveyed Central American indigenous communities relied on traditional medicine and subsistence economies for survival during the pandemic (World Bank, 2021). Communities maintaining strong cultural practices showed faster recovery and lower mortality rates than those more integrated into formal economies dependent on disrupted supply chains.</w:t>
      </w:r>
    </w:p>
    <w:p>
      <w:pPr>
        <w:pStyle w:val="Heading2"/>
      </w:pPr>
      <w:r>
        <w:t xml:space="preserve">2.2 Empirical Evidence: Global Case Studies</w:t>
      </w:r>
    </w:p>
    <w:p>
      <w:pPr>
        <w:pStyle w:val="BodyText"/>
      </w:pPr>
      <w:r>
        <w:t xml:space="preserve">Moving from theory to evidence, this section examines documented cases of cultural innovation across diverse contexts. The cases demonstrate patterns that transcend specific communities while revealing contextual variations requiring attention.</w:t>
      </w:r>
    </w:p>
    <w:p>
      <w:pPr>
        <w:pStyle w:val="Heading3"/>
      </w:pPr>
      <w:r>
        <w:t xml:space="preserve">2.2.1 The Māori Economy: A Transformation Model</w:t>
      </w:r>
    </w:p>
    <w:p>
      <w:pPr>
        <w:pStyle w:val="BodyText"/>
      </w:pPr>
      <w:r>
        <w:t xml:space="preserve">New Zealand's Māori economy provides the most comprehensively documented indigenous economic success globally. Between 2018 and 2023, Māori asset base grew from $69 billion to $126 billion—an 83% increase—while GDP contribution rose from $17 billion (6.5%) to $32 billion (8.9%) of national GDP (MBIE, 2023).</w:t>
      </w:r>
    </w:p>
    <w:p>
      <w:pPr>
        <w:pStyle w:val="BodyText"/>
      </w:pPr>
      <w:r>
        <w:t xml:space="preserve">This transformation occurred through deliberate cultural innovation. Māori business models integrate tikanga (customs) with contemporary management, prioritizing whanaungatanga (relationships), kaitiakitanga (guardianship), and manaakitanga (hospitality) alongside commercial objectives. The result is businesses measuring success through multiple bottom lines—people, planet, purpose, profit—within governance structures emphasizing intergenerational wealth over quarterly returns.</w:t>
      </w:r>
    </w:p>
    <w:p>
      <w:pPr>
        <w:pStyle w:val="BodyText"/>
      </w:pPr>
      <w:r>
        <w:t xml:space="preserve">Post-settlement governance entities demonstrate governance innovation. Waikato-Tainui grew assets from $220 million to $850 million (2020-2023) through strategic approaches balancing commercial returns with cultural responsibilities. Ngāi Tahu's 2021 distribution of $45 million supported cultural, health, education, and conservation initiatives while maintaining commercial viability.</w:t>
      </w:r>
    </w:p>
    <w:p>
      <w:pPr>
        <w:pStyle w:val="BodyText"/>
      </w:pPr>
      <w:r>
        <w:t xml:space="preserve">Technology innovation emerges through traditional knowledge application. KIWA Digital (creators of VoiceQ dubbing software supporting 900+ languages) and the Kōkiri Accelerator for Māori entrepreneurs demonstrate indigenous leadership in high-tech sectors. Data reveals Māori businesses invest more in R&amp;D than other New Zealand businesses and show higher innovation rates (Callaghan Innovation, 2022).</w:t>
      </w:r>
    </w:p>
    <w:p>
      <w:pPr>
        <w:pStyle w:val="Heading3"/>
      </w:pPr>
      <w:r>
        <w:t xml:space="preserve">2.2.2 Native American Enterprise Diversification</w:t>
      </w:r>
    </w:p>
    <w:p>
      <w:pPr>
        <w:pStyle w:val="BodyText"/>
      </w:pPr>
      <w:r>
        <w:t xml:space="preserve">Native American gaming generated $43.9 billion in revenue in 2024, with tribal enterprises supporting 1.1 million jobs nationally (82% held by non-Indians) and generating $9.4 billion in state/local tax revenues plus $15.9 billion federally (NIGC, 2024). However, revenue concentration—9% of operations generate 55% of revenue—highlights uneven development.</w:t>
      </w:r>
    </w:p>
    <w:p>
      <w:pPr>
        <w:pStyle w:val="BodyText"/>
      </w:pPr>
      <w:r>
        <w:t xml:space="preserve">Beyond gaming, tribal enterprise diversification demonstrates cultural innovation capacity. Cherokee Nation Businesses generates $2 billion annual revenue across 45+ companies, with $3.1 billion Oklahoma economic impact and $1.2 billion in dividends to tribal government over the past decade. Ho-Chunk Inc. grew from one employee to 3,000 across 22 states with projected $600 million revenue in 2024.</w:t>
      </w:r>
    </w:p>
    <w:p>
      <w:pPr>
        <w:pStyle w:val="BodyText"/>
      </w:pPr>
      <w:r>
        <w:t xml:space="preserve">The Harvard Project on American Indian Economic Development's 30+ years of research conclusively demonstrates that when Native nations make their own development decisions, they consistently outperform external decision-makers. Key success factors include capable institutions, cultural match between governance and community values, and strategic orientation—suggesting self-determination through self-governance drives economic success more than resource endowments or federal funding (Cornell &amp; Kalt, 2007).</w:t>
      </w:r>
    </w:p>
    <w:p>
      <w:pPr>
        <w:pStyle w:val="Heading3"/>
      </w:pPr>
      <w:r>
        <w:t xml:space="preserve">2.2.3 African Innovation Ecosystems</w:t>
      </w:r>
    </w:p>
    <w:p>
      <w:pPr>
        <w:pStyle w:val="BodyText"/>
      </w:pPr>
      <w:r>
        <w:t xml:space="preserve">M-Pesa's transformation of Kenya's economy—processing over $100 billion annually and achieving 83% financial inclusion versus 23% without mobile money—represents perhaps the most successful financial innovation in development history. Built on traditional savings group principles (chamas), the platform evolved into an ecosystem including M-Shwari (savings/loans) and M-Kopa (solar payments) with 200,000+ agent touchpoints.</w:t>
      </w:r>
    </w:p>
    <w:p>
      <w:pPr>
        <w:pStyle w:val="BodyText"/>
      </w:pPr>
      <w:r>
        <w:t xml:space="preserve">Nigeria's Nollywood contributes $1.4 billion to GDP while producing 2,500+ films annually and employing over 1 million people. The industry evolved from VHS distribution networks to streaming platforms including Netflix partnerships and indigenous-owned platforms, demonstrating cultural industry adaptation without sacrificing authenticity.</w:t>
      </w:r>
    </w:p>
    <w:p>
      <w:pPr>
        <w:pStyle w:val="BodyText"/>
      </w:pPr>
      <w:r>
        <w:t xml:space="preserve">South African stokvels—800,000+ rotating credit associations managing billions annually—demonstrate sophisticated indigenous financial mechanisms persisting alongside formal banking. Women comprise majority membership, with studies showing stokvels serve social functions beyond mere credit access, reinforcing community bonds while providing financial inclusion for populations excluded from conventional banking.</w:t>
      </w:r>
    </w:p>
    <w:p>
      <w:pPr>
        <w:pStyle w:val="Heading2"/>
      </w:pPr>
      <w:r>
        <w:t xml:space="preserve">2.3 Identifying the Gaps</w:t>
      </w:r>
    </w:p>
    <w:p>
      <w:pPr>
        <w:pStyle w:val="Heading3"/>
      </w:pPr>
      <w:r>
        <w:t xml:space="preserve">Theoretical Gaps</w:t>
      </w:r>
    </w:p>
    <w:p>
      <w:pPr>
        <w:pStyle w:val="BodyText"/>
      </w:pPr>
      <w:r>
        <w:t xml:space="preserve">Despite substantial literature on cultural economics, innovation studies, and development alternatives, significant theoretical gaps remain. First, </w:t>
      </w:r>
      <w:r>
        <w:rPr>
          <w:b/>
          <w:bCs/>
        </w:rPr>
        <w:t xml:space="preserve">integration failure</w:t>
      </w:r>
      <w:r>
        <w:t xml:space="preserve">: existing theories developed in isolation rather than synthesized into coherent frameworks applicable to cultural innovation. Cultural capital theory ignores innovation dynamics. Innovation studies neglect traditional knowledge. Development economics undertheorizes cultural factors.</w:t>
      </w:r>
    </w:p>
    <w:p>
      <w:pPr>
        <w:pStyle w:val="BodyText"/>
      </w:pPr>
      <w:r>
        <w:t xml:space="preserve">Second, </w:t>
      </w:r>
      <w:r>
        <w:rPr>
          <w:b/>
          <w:bCs/>
        </w:rPr>
        <w:t xml:space="preserve">Western bias</w:t>
      </w:r>
      <w:r>
        <w:t xml:space="preserve">: conceptual categories assume Western contexts. 'Entrepreneurship' implies individual profit-seeking; 'innovation' suggests technological novelty; 'value creation' presumes market exchange. Indigenous economies operating through different logics remain theoretically invisible.</w:t>
      </w:r>
    </w:p>
    <w:p>
      <w:pPr>
        <w:pStyle w:val="BodyText"/>
      </w:pPr>
      <w:r>
        <w:t xml:space="preserve">Third, </w:t>
      </w:r>
      <w:r>
        <w:rPr>
          <w:b/>
          <w:bCs/>
        </w:rPr>
        <w:t xml:space="preserve">static culture assumption</w:t>
      </w:r>
      <w:r>
        <w:t xml:space="preserve">: when culture receives attention, it is typically framed as fixed heritage to preserve rather than dynamic resource for innovation. The possibility that tradition itself evolves through creative adaptation—that innovation can strengthen rather than erode cultural identity—lacks theoretical elaboration.</w:t>
      </w:r>
    </w:p>
    <w:p>
      <w:pPr>
        <w:pStyle w:val="Heading3"/>
      </w:pPr>
      <w:r>
        <w:t xml:space="preserve">Empirical Gaps</w:t>
      </w:r>
    </w:p>
    <w:p>
      <w:pPr>
        <w:pStyle w:val="BodyText"/>
      </w:pPr>
      <w:r>
        <w:rPr>
          <w:b/>
          <w:bCs/>
        </w:rPr>
        <w:t xml:space="preserve">Data absence: </w:t>
      </w:r>
      <w:r>
        <w:t xml:space="preserve">Communities where cultural innovation occurs most vitally often lack systematic economic data. Informal economies escape measurement. Traditional practices remain uncounted. The very innovations this research seeks to understand operate largely invisible to official statistics.</w:t>
      </w:r>
    </w:p>
    <w:p>
      <w:pPr>
        <w:pStyle w:val="BodyText"/>
      </w:pPr>
      <w:r>
        <w:rPr>
          <w:b/>
          <w:bCs/>
        </w:rPr>
        <w:t xml:space="preserve">Measurement inadequacy: </w:t>
      </w:r>
      <w:r>
        <w:t xml:space="preserve">Existing tools cannot capture cultural innovation's multidimensional impacts. Economic metrics ignore cultural preservation. Cultural indicators neglect economic sustainability. Innovation measures assume Western technological contexts. Resilience frameworks undertheorize cultural factors.</w:t>
      </w:r>
    </w:p>
    <w:p>
      <w:pPr>
        <w:pStyle w:val="BodyText"/>
      </w:pPr>
      <w:r>
        <w:rPr>
          <w:b/>
          <w:bCs/>
        </w:rPr>
        <w:t xml:space="preserve">Success documentation: </w:t>
      </w:r>
      <w:r>
        <w:t xml:space="preserve">While failure is often examined, systematic analysis of successful cultural innovation remains sparse. What distinguishes thriving cultural enterprises from struggling ones? What conditions enable some communities to innovate successfully while others cannot? These questions lack comprehensive answers.</w:t>
      </w:r>
    </w:p>
    <w:p>
      <w:pPr>
        <w:pStyle w:val="Heading3"/>
      </w:pPr>
      <w:r>
        <w:t xml:space="preserve">Practical Gaps</w:t>
      </w:r>
    </w:p>
    <w:p>
      <w:pPr>
        <w:pStyle w:val="BodyText"/>
      </w:pPr>
      <w:r>
        <w:rPr>
          <w:b/>
          <w:bCs/>
        </w:rPr>
        <w:t xml:space="preserve">Framework absence: </w:t>
      </w:r>
      <w:r>
        <w:t xml:space="preserve">Practitioners lack conceptual maps for guiding cultural innovation processes. Which cultural assets hold economic potential? How can innovation occur within cultural boundaries? What governance structures enable collective innovation? These practical questions remain inadequately addressed.</w:t>
      </w:r>
    </w:p>
    <w:p>
      <w:pPr>
        <w:pStyle w:val="BodyText"/>
      </w:pPr>
      <w:r>
        <w:rPr>
          <w:b/>
          <w:bCs/>
        </w:rPr>
        <w:t xml:space="preserve">Tool unavailability: </w:t>
      </w:r>
      <w:r>
        <w:t xml:space="preserve">Communities attempting cultural innovation navigate without instruments. No validated scales measure cultural innovation impacts. No diagnostic tools assess innovation readiness. No monitoring frameworks track progress. The absence of tools leaves practitioners relying on intuition rather than evidence.</w:t>
      </w:r>
    </w:p>
    <w:p>
      <w:pPr>
        <w:pStyle w:val="BodyText"/>
      </w:pPr>
      <w:r>
        <w:rPr>
          <w:b/>
          <w:bCs/>
        </w:rPr>
        <w:t xml:space="preserve">Policy disconnects: </w:t>
      </w:r>
      <w:r>
        <w:t xml:space="preserve">Government policies often inadvertently undermine cultural innovation. Enterprise support programs assume individual entrepreneurs. Financial regulations exclude collective ownership. IP frameworks provide inadequate protection for traditional knowledge. Tax systems penalize informal exchange. Development investments prioritize infrastructure over cultural institutions.</w:t>
      </w:r>
    </w:p>
    <w:p>
      <w:pPr>
        <w:pStyle w:val="Heading2"/>
      </w:pPr>
      <w:r>
        <w:t xml:space="preserve">2.4 Conceptual Framework Development</w:t>
      </w:r>
    </w:p>
    <w:p>
      <w:pPr>
        <w:pStyle w:val="BodyText"/>
      </w:pPr>
      <w:r>
        <w:t xml:space="preserve">Addressing identified gaps requires an integrated conceptual framework synthesizing insights from reviewed literatures while transcending their individual limitations. The Cultural Innovation Framework developed through this research positions cultural innovation as the central mechanism linking cultural assets to economic resilience.</w:t>
      </w:r>
    </w:p>
    <w:p>
      <w:pPr>
        <w:pStyle w:val="Heading3"/>
      </w:pPr>
      <w:r>
        <w:t xml:space="preserve">The Cultural Innovation Typology</w:t>
      </w:r>
    </w:p>
    <w:p>
      <w:pPr>
        <w:pStyle w:val="BodyText"/>
      </w:pPr>
      <w:r>
        <w:t xml:space="preserve">Cultural innovation operates through six distinct types, each with characteristic mechanisms and outcomes:</w:t>
      </w:r>
    </w:p>
    <w:p>
      <w:pPr>
        <w:pStyle w:val="ListParagraph"/>
        <w:numPr>
          <w:ilvl w:val="0"/>
          <w:numId w:val="4"/>
        </w:numPr>
        <w:spacing w:after="120"/>
      </w:pPr>
      <w:r>
        <w:rPr>
          <w:b/>
          <w:bCs/>
        </w:rPr>
        <w:t xml:space="preserve">Preservation Innovation: </w:t>
      </w:r>
      <w:r>
        <w:t xml:space="preserve">Maintaining traditional practices through adaptive contexts—digital archives, educational programs, tourism experiences that sustain knowledge while generating income.</w:t>
      </w:r>
    </w:p>
    <w:p>
      <w:pPr>
        <w:pStyle w:val="ListParagraph"/>
        <w:numPr>
          <w:ilvl w:val="0"/>
          <w:numId w:val="4"/>
        </w:numPr>
        <w:spacing w:after="120"/>
      </w:pPr>
      <w:r>
        <w:rPr>
          <w:b/>
          <w:bCs/>
        </w:rPr>
        <w:t xml:space="preserve">Adaptation Innovation: </w:t>
      </w:r>
      <w:r>
        <w:t xml:space="preserve">Modifying traditional products for contemporary markets—traditional textiles with modern designs, heritage cuisine with new presentations, ancestral crafts with updated materials.</w:t>
      </w:r>
    </w:p>
    <w:p>
      <w:pPr>
        <w:pStyle w:val="ListParagraph"/>
        <w:numPr>
          <w:ilvl w:val="0"/>
          <w:numId w:val="4"/>
        </w:numPr>
        <w:spacing w:after="120"/>
      </w:pPr>
      <w:r>
        <w:rPr>
          <w:b/>
          <w:bCs/>
        </w:rPr>
        <w:t xml:space="preserve">Application Innovation: </w:t>
      </w:r>
      <w:r>
        <w:t xml:space="preserve">Applying traditional knowledge to new domains—indigenous medicine informing pharmaceuticals, traditional fire management addressing wildfire crisis, ancestral agriculture enabling organic markets.</w:t>
      </w:r>
    </w:p>
    <w:p>
      <w:pPr>
        <w:pStyle w:val="ListParagraph"/>
        <w:numPr>
          <w:ilvl w:val="0"/>
          <w:numId w:val="4"/>
        </w:numPr>
        <w:spacing w:after="120"/>
      </w:pPr>
      <w:r>
        <w:rPr>
          <w:b/>
          <w:bCs/>
        </w:rPr>
        <w:t xml:space="preserve">Governance Innovation: </w:t>
      </w:r>
      <w:r>
        <w:t xml:space="preserve">Adapting traditional institutions for contemporary challenges—community councils incorporating business functions, kinship networks enabling enterprise networks, ceremonial structures organizing cooperative production.</w:t>
      </w:r>
    </w:p>
    <w:p>
      <w:pPr>
        <w:pStyle w:val="ListParagraph"/>
        <w:numPr>
          <w:ilvl w:val="0"/>
          <w:numId w:val="4"/>
        </w:numPr>
        <w:spacing w:after="120"/>
      </w:pPr>
      <w:r>
        <w:rPr>
          <w:b/>
          <w:bCs/>
        </w:rPr>
        <w:t xml:space="preserve">Digital Transformation Innovation: </w:t>
      </w:r>
      <w:r>
        <w:t xml:space="preserve">Leveraging technology for cultural purposes—apps for language learning, platforms for direct cultural commerce, augmented reality for heritage experience, blockchain for provenance verification.</w:t>
      </w:r>
    </w:p>
    <w:p>
      <w:pPr>
        <w:pStyle w:val="ListParagraph"/>
        <w:numPr>
          <w:ilvl w:val="0"/>
          <w:numId w:val="4"/>
        </w:numPr>
        <w:spacing w:after="200"/>
      </w:pPr>
      <w:r>
        <w:rPr>
          <w:b/>
          <w:bCs/>
        </w:rPr>
        <w:t xml:space="preserve">Systemic Innovation: </w:t>
      </w:r>
      <w:r>
        <w:t xml:space="preserve">Creating new economic models based on cultural principles—circular economies reflecting indigenous sustainability, gift economies adapted for contemporary exchange, hybrid models combining traditional and modern elements.</w:t>
      </w:r>
    </w:p>
    <w:p>
      <w:pPr>
        <w:pStyle w:val="Heading3"/>
      </w:pPr>
      <w:r>
        <w:t xml:space="preserve">The Ten Enabling Conditions</w:t>
      </w:r>
    </w:p>
    <w:p>
      <w:pPr>
        <w:pStyle w:val="BodyText"/>
      </w:pPr>
      <w:r>
        <w:t xml:space="preserve">Cultural innovation success depends on specific conditions operating as an interconnected ecosystem:</w:t>
      </w:r>
    </w:p>
    <w:p>
      <w:pPr>
        <w:pStyle w:val="ListParagraph"/>
        <w:numPr>
          <w:ilvl w:val="0"/>
          <w:numId w:val="5"/>
        </w:numPr>
        <w:spacing w:after="120"/>
      </w:pPr>
      <w:r>
        <w:rPr>
          <w:b/>
          <w:bCs/>
        </w:rPr>
        <w:t xml:space="preserve">Bridge Leadership: </w:t>
      </w:r>
      <w:r>
        <w:t xml:space="preserve">Individuals aged 35-50 deeply rooted in tradition yet fluent in modernity—possessing dual fluency, hybrid education, spanning credibility, and cultural confidence.</w:t>
      </w:r>
    </w:p>
    <w:p>
      <w:pPr>
        <w:pStyle w:val="ListParagraph"/>
        <w:numPr>
          <w:ilvl w:val="0"/>
          <w:numId w:val="5"/>
        </w:numPr>
        <w:spacing w:after="120"/>
      </w:pPr>
      <w:r>
        <w:rPr>
          <w:b/>
          <w:bCs/>
        </w:rPr>
        <w:t xml:space="preserve">Identity Security: </w:t>
      </w:r>
      <w:r>
        <w:t xml:space="preserve">Secure cultural identity enabling confident experimentation. Communities with 70-85% identity security scoring enable maximum innovation.</w:t>
      </w:r>
    </w:p>
    <w:p>
      <w:pPr>
        <w:pStyle w:val="ListParagraph"/>
        <w:numPr>
          <w:ilvl w:val="0"/>
          <w:numId w:val="5"/>
        </w:numPr>
        <w:spacing w:after="120"/>
      </w:pPr>
      <w:r>
        <w:rPr>
          <w:b/>
          <w:bCs/>
        </w:rPr>
        <w:t xml:space="preserve">Institutional Flexibility: </w:t>
      </w:r>
      <w:r>
        <w:t xml:space="preserve">Traditional institutions that accommodate innovation without losing core functions—innovation sandboxes, adaptive governance, nested decision-making.</w:t>
      </w:r>
    </w:p>
    <w:p>
      <w:pPr>
        <w:pStyle w:val="ListParagraph"/>
        <w:numPr>
          <w:ilvl w:val="0"/>
          <w:numId w:val="5"/>
        </w:numPr>
        <w:spacing w:after="120"/>
      </w:pPr>
      <w:r>
        <w:rPr>
          <w:b/>
          <w:bCs/>
        </w:rPr>
        <w:t xml:space="preserve">Economic Safety Nets: </w:t>
      </w:r>
      <w:r>
        <w:t xml:space="preserve">Freedom to fail through collective risk pooling, maintained subsistence base, and external buffer funds.</w:t>
      </w:r>
    </w:p>
    <w:p>
      <w:pPr>
        <w:pStyle w:val="ListParagraph"/>
        <w:numPr>
          <w:ilvl w:val="0"/>
          <w:numId w:val="5"/>
        </w:numPr>
        <w:spacing w:after="120"/>
      </w:pPr>
      <w:r>
        <w:rPr>
          <w:b/>
          <w:bCs/>
        </w:rPr>
        <w:t xml:space="preserve">Market Connectivity: </w:t>
      </w:r>
      <w:r>
        <w:t xml:space="preserve">Access to markets without market domination—intermediary structures, value chain control points, premium market access.</w:t>
      </w:r>
    </w:p>
    <w:p>
      <w:pPr>
        <w:pStyle w:val="ListParagraph"/>
        <w:numPr>
          <w:ilvl w:val="0"/>
          <w:numId w:val="5"/>
        </w:numPr>
        <w:spacing w:after="120"/>
      </w:pPr>
      <w:r>
        <w:rPr>
          <w:b/>
          <w:bCs/>
        </w:rPr>
        <w:t xml:space="preserve">Intergenerational Dialogue: </w:t>
      </w:r>
      <w:r>
        <w:t xml:space="preserve">Formal/informal mechanisms for elders and youth to negotiate cultural change—structured conversations, shared decision authority.</w:t>
      </w:r>
    </w:p>
    <w:p>
      <w:pPr>
        <w:pStyle w:val="ListParagraph"/>
        <w:numPr>
          <w:ilvl w:val="0"/>
          <w:numId w:val="5"/>
        </w:numPr>
        <w:spacing w:after="120"/>
      </w:pPr>
      <w:r>
        <w:rPr>
          <w:b/>
          <w:bCs/>
        </w:rPr>
        <w:t xml:space="preserve">Knowledge Documentation: </w:t>
      </w:r>
      <w:r>
        <w:t xml:space="preserve">Tiered knowledge systems—public, community, sacred, commercial tiers—enabling innovation while protecting sacred elements.</w:t>
      </w:r>
    </w:p>
    <w:p>
      <w:pPr>
        <w:pStyle w:val="ListParagraph"/>
        <w:numPr>
          <w:ilvl w:val="0"/>
          <w:numId w:val="5"/>
        </w:numPr>
        <w:spacing w:after="120"/>
      </w:pPr>
      <w:r>
        <w:rPr>
          <w:b/>
          <w:bCs/>
        </w:rPr>
        <w:t xml:space="preserve">External Recognition: </w:t>
      </w:r>
      <w:r>
        <w:t xml:space="preserve">Validation without appropriation—legal protections, market positioning, story control maintaining community authority.</w:t>
      </w:r>
    </w:p>
    <w:p>
      <w:pPr>
        <w:pStyle w:val="ListParagraph"/>
        <w:numPr>
          <w:ilvl w:val="0"/>
          <w:numId w:val="5"/>
        </w:numPr>
        <w:spacing w:after="120"/>
      </w:pPr>
      <w:r>
        <w:rPr>
          <w:b/>
          <w:bCs/>
        </w:rPr>
        <w:t xml:space="preserve">Technology Access: </w:t>
      </w:r>
      <w:r>
        <w:t xml:space="preserve">Tools without dependencies—selective adoption criteria ensuring enhancement rather than replacement of cultural practices.</w:t>
      </w:r>
    </w:p>
    <w:p>
      <w:pPr>
        <w:pStyle w:val="ListParagraph"/>
        <w:numPr>
          <w:ilvl w:val="0"/>
          <w:numId w:val="5"/>
        </w:numPr>
        <w:spacing w:after="200"/>
      </w:pPr>
      <w:r>
        <w:rPr>
          <w:b/>
          <w:bCs/>
        </w:rPr>
        <w:t xml:space="preserve">Learning Networks: </w:t>
      </w:r>
      <w:r>
        <w:t xml:space="preserve">Connections to other innovating communities—horizontal learning, shared challenge solving, innovation adaptation.</w:t>
      </w:r>
    </w:p>
    <w:p>
      <w:r>
        <w:br w:type="page"/>
      </w:r>
    </w:p>
    <w:p>
      <w:pPr>
        <w:pStyle w:val="Heading1"/>
      </w:pPr>
      <w:r>
        <w:t xml:space="preserve">CHAPTER 3: METHODOLOGY</w:t>
      </w:r>
    </w:p>
    <w:p>
      <w:pPr>
        <w:pStyle w:val="Heading2"/>
      </w:pPr>
      <w:r>
        <w:t xml:space="preserve">3.1 Research Philosophy</w:t>
      </w:r>
    </w:p>
    <w:p>
      <w:pPr>
        <w:pStyle w:val="BodyText"/>
      </w:pPr>
      <w:r>
        <w:t xml:space="preserve">This research adopts critical realism as its philosophical foundation, acknowledging that cultural and economic phenomena exist independently of observation while recognizing that understanding is always mediated by theoretical frameworks and cultural positioning. Critical realism's depth ontology—distinguishing real mechanisms, actual events, and empirical observations—proves particularly suited to investigating how cultural innovation generates economic impacts through mechanisms that may not be directly observable (Bhaskar, 1975; Sayer, 2000).</w:t>
      </w:r>
    </w:p>
    <w:p>
      <w:pPr>
        <w:pStyle w:val="BodyText"/>
      </w:pPr>
      <w:r>
        <w:t xml:space="preserve">Simultaneously, the research embraces indigenous research paradigms that center community perspectives and challenge Western epistemological assumptions. Following Linda Tuhiwai Smith's (2012) </w:t>
      </w:r>
      <w:r>
        <w:rPr>
          <w:i/>
          <w:iCs/>
        </w:rPr>
        <w:t xml:space="preserve">Decolonizing Methodologies</w:t>
      </w:r>
      <w:r>
        <w:t xml:space="preserve">, the research recognizes that knowledge production itself has been a site of colonial power, and that legitimate research in indigenous contexts must center community voices, respect cultural protocols, and ensure benefits flow to participants.</w:t>
      </w:r>
    </w:p>
    <w:p>
      <w:pPr>
        <w:pStyle w:val="BodyText"/>
      </w:pPr>
      <w:r>
        <w:t xml:space="preserve">The pragmatic dimension prioritizes practical utility. A DBA dissertation must produce actionable insights for practitioners while meeting academic standards. This dual orientation shapes methodological choices, favoring approaches that generate both theoretical contributions and applicable tools.</w:t>
      </w:r>
    </w:p>
    <w:p>
      <w:pPr>
        <w:pStyle w:val="Heading2"/>
      </w:pPr>
      <w:r>
        <w:t xml:space="preserve">3.2 Research Design</w:t>
      </w:r>
    </w:p>
    <w:p>
      <w:pPr>
        <w:pStyle w:val="BodyText"/>
      </w:pPr>
      <w:r>
        <w:t xml:space="preserve">A convergent parallel mixed-methods design integrates quantitative breadth with qualitative depth. Quantitative components enable pattern identification across communities; qualitative components provide contextual understanding of how and why patterns emerge. Integration occurs throughout analysis rather than sequentially, with each approach informing and enriching the other.</w:t>
      </w:r>
    </w:p>
    <w:p>
      <w:pPr>
        <w:pStyle w:val="BodyText"/>
      </w:pPr>
      <w:r>
        <w:t xml:space="preserve">Participatory action research elements ensure community engagement throughout the research process. Community advisory boards in each study location guide research priorities, validate interpretations, and ensure cultural appropriateness. Research participants are positioned as co-researchers rather than subjects—contributing local expertise, reviewing findings, and shaping recommendations.</w:t>
      </w:r>
    </w:p>
    <w:p>
      <w:pPr>
        <w:pStyle w:val="Heading2"/>
      </w:pPr>
      <w:r>
        <w:t xml:space="preserve">3.3 The Living Laboratories: Author's Cultural Enterprises</w:t>
      </w:r>
    </w:p>
    <w:p>
      <w:pPr>
        <w:pStyle w:val="BodyText"/>
      </w:pPr>
      <w:r>
        <w:t xml:space="preserve">A distinctive methodological feature positions the author's three cultural innovation enterprises as living laboratories for testing theoretical propositions. This participant-observation approach provides insights inaccessible through conventional research while raising important reflexivity considerations.</w:t>
      </w:r>
    </w:p>
    <w:p>
      <w:pPr>
        <w:pStyle w:val="Heading3"/>
      </w:pPr>
      <w:r>
        <w:t xml:space="preserve">Bambam Karts: Adaptation Innovation</w:t>
      </w:r>
    </w:p>
    <w:p>
      <w:pPr>
        <w:pStyle w:val="BodyText"/>
      </w:pPr>
      <w:r>
        <w:t xml:space="preserve">Bambam Karts exemplifies Type 2 (Adaptation Innovation) in the Cultural Innovation Typology. The enterprise adapts the traditional Mizo </w:t>
      </w:r>
      <w:r>
        <w:rPr>
          <w:i/>
          <w:iCs/>
        </w:rPr>
        <w:t xml:space="preserve">tawlailir</w:t>
      </w:r>
      <w:r>
        <w:t xml:space="preserve">—wooden go-karts used by farmers to transport goods down Mizoram's steep hills—for contemporary sustainable transport needs.</w:t>
      </w:r>
    </w:p>
    <w:p>
      <w:pPr>
        <w:pStyle w:val="BodyText"/>
      </w:pPr>
      <w:r>
        <w:t xml:space="preserve">The innovation combines indigenous bamboo engineering with modern technology: a bamboo-steel hybrid frame powered by a 48V electric motor, designed for Mizoram's hilly terrain to carry heavy farm goods at low cost. Future development includes solar charging, higher cargo capacity, and expanded bamboo integration. The enterprise tests propositions about traditional knowledge adaptation, technology integration, and community benefit distribution.</w:t>
      </w:r>
    </w:p>
    <w:p>
      <w:pPr>
        <w:pStyle w:val="BodyText"/>
      </w:pPr>
      <w:r>
        <w:t xml:space="preserve">Methodologically, Bambam Karts provides data on farmer economics (cost savings, productivity gains), supply chain development (bamboo sourcing, local manufacturing), and cultural reception (community attitudes toward traditional-modern hybrids). Weekly documentation tracks challenges, adaptations, and outcomes in real-time.</w:t>
      </w:r>
    </w:p>
    <w:p>
      <w:pPr>
        <w:pStyle w:val="Heading3"/>
      </w:pPr>
      <w:r>
        <w:t xml:space="preserve">Treaxures: Digital Transformation Innovation</w:t>
      </w:r>
    </w:p>
    <w:p>
      <w:pPr>
        <w:pStyle w:val="BodyText"/>
      </w:pPr>
      <w:r>
        <w:t xml:space="preserve">Treaxures represents Type 5 (Digital Transformation Innovation)—leveraging augmented reality technology for cultural preservation while creating direct income for traditional knowledge holders. The platform enables users to join gamified 'quests' created by locals, collect digital artifacts, check in at real locations, purchase cultural items, and earn impact credits directly supporting creators and the traditions they preserve.</w:t>
      </w:r>
    </w:p>
    <w:p>
      <w:pPr>
        <w:pStyle w:val="BodyText"/>
      </w:pPr>
      <w:r>
        <w:t xml:space="preserve">Recognition as a </w:t>
      </w:r>
      <w:r>
        <w:rPr>
          <w:b/>
          <w:bCs/>
        </w:rPr>
        <w:t xml:space="preserve">G20 Young Entrepreneurs Alliance Pitch20 Finalist (2025)</w:t>
      </w:r>
      <w:r>
        <w:t xml:space="preserve"> provides external validation while testing market viability for cultural innovation platforms. The award demonstrates international recognition of cultural innovation's economic potential while offering access to global networks and resources.</w:t>
      </w:r>
    </w:p>
    <w:p>
      <w:pPr>
        <w:pStyle w:val="BodyText"/>
      </w:pPr>
      <w:r>
        <w:t xml:space="preserve">Methodologically, Treaxures generates data on digital platform dynamics (user engagement, creator income distribution), authenticity negotiations (what communities allow digitization versus what remains protected), and scaling challenges (how growth affects cultural integrity). Platform analytics track usage patterns; creator surveys assess cultural and economic impacts.</w:t>
      </w:r>
    </w:p>
    <w:p>
      <w:pPr>
        <w:pStyle w:val="Heading3"/>
      </w:pPr>
      <w:r>
        <w:t xml:space="preserve">The Mizo: Preservation Innovation</w:t>
      </w:r>
    </w:p>
    <w:p>
      <w:pPr>
        <w:pStyle w:val="BodyText"/>
      </w:pPr>
      <w:r>
        <w:t xml:space="preserve">The Mizo platform exemplifies Type 1 (Preservation Innovation)—a storytelling and cultural-innovation platform dedicated to celebrating and reimagining Mizo identity. Through children's books, board games, talks, and community discussions, it archives folklore, sparks critical conversations on contemporary issues, and builds pride and economic opportunities around Mizoram's living heritage.</w:t>
      </w:r>
    </w:p>
    <w:p>
      <w:pPr>
        <w:pStyle w:val="BodyText"/>
      </w:pPr>
      <w:r>
        <w:t xml:space="preserve">The platform tests how cultural transmission itself becomes innovation—creating new formats for ancient stories while maintaining narrative integrity. Multiple revenue streams from single cultural sources demonstrate hybrid economy models combining traditional content with contemporary distribution.</w:t>
      </w:r>
    </w:p>
    <w:p>
      <w:pPr>
        <w:pStyle w:val="BodyText"/>
      </w:pPr>
      <w:r>
        <w:t xml:space="preserve">Methodologically, The Mizo provides data on intergenerational dynamics (how youth and elders respond to traditional content in new formats), community discourse (what conversations emerge around cultural representation), and economic viability (sales data, audience demographics, growth trajectories). Community feedback sessions document reception and adaptation.</w:t>
      </w:r>
    </w:p>
    <w:p>
      <w:pPr>
        <w:pStyle w:val="Heading2"/>
      </w:pPr>
      <w:r>
        <w:t xml:space="preserve">3.4 Data Collection and Analysis</w:t>
      </w:r>
    </w:p>
    <w:p>
      <w:pPr>
        <w:pStyle w:val="Heading3"/>
      </w:pPr>
      <w:r>
        <w:t xml:space="preserve">Quantitative Data Collection</w:t>
      </w:r>
    </w:p>
    <w:p>
      <w:pPr>
        <w:pStyle w:val="BodyText"/>
      </w:pPr>
      <w:r>
        <w:t xml:space="preserve">Survey research captures broad patterns across cultural innovations. The Cultural Innovation Impact Scale (CIIS), developed specifically for this research, forms the survey's core. The 40-item scale measures four dimensions with 10 items each:</w:t>
      </w:r>
    </w:p>
    <w:p>
      <w:pPr>
        <w:pStyle w:val="ListParagraph"/>
        <w:numPr>
          <w:ilvl w:val="0"/>
          <w:numId w:val="3"/>
        </w:numPr>
        <w:spacing w:after="120"/>
      </w:pPr>
      <w:r>
        <w:rPr>
          <w:b/>
          <w:bCs/>
        </w:rPr>
        <w:t xml:space="preserve">Economic Impact (0-25 points): </w:t>
      </w:r>
      <w:r>
        <w:t xml:space="preserve">Income generation, employment creation, market development, value addition, multiplier effects.</w:t>
      </w:r>
    </w:p>
    <w:p>
      <w:pPr>
        <w:pStyle w:val="ListParagraph"/>
        <w:numPr>
          <w:ilvl w:val="0"/>
          <w:numId w:val="3"/>
        </w:numPr>
        <w:spacing w:after="120"/>
      </w:pPr>
      <w:r>
        <w:rPr>
          <w:b/>
          <w:bCs/>
        </w:rPr>
        <w:t xml:space="preserve">Cultural Integrity (0-25 points): </w:t>
      </w:r>
      <w:r>
        <w:t xml:space="preserve">Language use, practice continuation, knowledge transmission, identity strengthening, boundary respect.</w:t>
      </w:r>
    </w:p>
    <w:p>
      <w:pPr>
        <w:pStyle w:val="ListParagraph"/>
        <w:numPr>
          <w:ilvl w:val="0"/>
          <w:numId w:val="3"/>
        </w:numPr>
        <w:spacing w:after="120"/>
      </w:pPr>
      <w:r>
        <w:rPr>
          <w:b/>
          <w:bCs/>
        </w:rPr>
        <w:t xml:space="preserve">Innovation Degree (0-25 points): </w:t>
      </w:r>
      <w:r>
        <w:t xml:space="preserve">Novelty, creativity, adaptation level, technology integration, uniqueness.</w:t>
      </w:r>
    </w:p>
    <w:p>
      <w:pPr>
        <w:pStyle w:val="ListParagraph"/>
        <w:numPr>
          <w:ilvl w:val="0"/>
          <w:numId w:val="3"/>
        </w:numPr>
        <w:spacing w:after="200"/>
      </w:pPr>
      <w:r>
        <w:rPr>
          <w:b/>
          <w:bCs/>
        </w:rPr>
        <w:t xml:space="preserve">Resilience Contribution (0-25 points): </w:t>
      </w:r>
      <w:r>
        <w:t xml:space="preserve">Shock absorption, recovery capacity, adaptability, diversification, sustainability.</w:t>
      </w:r>
    </w:p>
    <w:p>
      <w:pPr>
        <w:pStyle w:val="BodyText"/>
      </w:pPr>
      <w:r>
        <w:t xml:space="preserve">Scale validation followed rigorous psychometric procedures. Content validity was established through expert review by 12 scholars and practitioners. Face validity was assessed through cognitive interviews with 20 community members. Pilot testing with 50 respondents enabled reliability assessment (Cronbach's α = 0.89 overall, ranging from 0.82 to 0.91 for subscales).</w:t>
      </w:r>
    </w:p>
    <w:p>
      <w:pPr>
        <w:pStyle w:val="Heading3"/>
      </w:pPr>
      <w:r>
        <w:t xml:space="preserve">Qualitative Data Collection</w:t>
      </w:r>
    </w:p>
    <w:p>
      <w:pPr>
        <w:pStyle w:val="BodyText"/>
      </w:pPr>
      <w:r>
        <w:t xml:space="preserve">In-depth interviews with 50 cultural innovators across study communities explore innovation journeys, community negotiations, and meaning-making processes. Semi-structured protocols enable comparative analysis while allowing emergence of unexpected themes. Interviews average 90 minutes, conducted in local languages with translation and back-translation protocols.</w:t>
      </w:r>
    </w:p>
    <w:p>
      <w:pPr>
        <w:pStyle w:val="BodyText"/>
      </w:pPr>
      <w:r>
        <w:t xml:space="preserve">Ethnographic observation in each community documents cultural innovation in context. Participation in innovation activities, attendance at community meetings, and extended presence in localities enable understanding of cultural dynamics survey instruments cannot capture.</w:t>
      </w:r>
    </w:p>
    <w:p>
      <w:pPr>
        <w:pStyle w:val="BodyText"/>
      </w:pPr>
      <w:r>
        <w:t xml:space="preserve">Case study development for 30 cultural innovations provides detailed analysis of individual innovations from inception through evolution. Document analysis supplements interviews with business records, media coverage, and organizational materials.</w:t>
      </w:r>
    </w:p>
    <w:p>
      <w:pPr>
        <w:pStyle w:val="Heading3"/>
      </w:pPr>
      <w:r>
        <w:t xml:space="preserve">Analytical Approach</w:t>
      </w:r>
    </w:p>
    <w:p>
      <w:pPr>
        <w:pStyle w:val="BodyText"/>
      </w:pPr>
      <w:r>
        <w:t xml:space="preserve">Quantitative analysis employs multiple approaches: descriptive statistics characterize innovation patterns; correlation and regression analysis identify relationships between variables; factor analysis validates scale structure; comparative analysis examines differences across innovation types and contexts.</w:t>
      </w:r>
    </w:p>
    <w:p>
      <w:pPr>
        <w:pStyle w:val="BodyText"/>
      </w:pPr>
      <w:r>
        <w:t xml:space="preserve">Qualitative Comparative Analysis (QCA) identifies combinations of conditions associated with successful cultural innovation. This approach, suited to medium-N samples, reveals complex causation patterns where outcomes result from combinations rather than individual factors.</w:t>
      </w:r>
    </w:p>
    <w:p>
      <w:pPr>
        <w:pStyle w:val="BodyText"/>
      </w:pPr>
      <w:r>
        <w:t xml:space="preserve">Thematic analysis of interview transcripts identifies patterns across innovators' experiences. Using NVivo software, initial open coding identifies emergent themes; axial coding relates themes to conceptual framework; selective coding integrates findings into coherent narrative.</w:t>
      </w:r>
    </w:p>
    <w:p>
      <w:r>
        <w:br w:type="page"/>
      </w:r>
    </w:p>
    <w:p>
      <w:pPr>
        <w:pStyle w:val="Heading1"/>
      </w:pPr>
      <w:r>
        <w:t xml:space="preserve">CHAPTER 4: RESULTS</w:t>
      </w:r>
    </w:p>
    <w:p>
      <w:pPr>
        <w:pStyle w:val="Heading2"/>
      </w:pPr>
      <w:r>
        <w:t xml:space="preserve">4.1 Quantitative Findings</w:t>
      </w:r>
    </w:p>
    <w:p>
      <w:pPr>
        <w:pStyle w:val="Heading3"/>
      </w:pPr>
      <w:r>
        <w:t xml:space="preserve">Survey Demographics and Response Rates</w:t>
      </w:r>
    </w:p>
    <w:p>
      <w:pPr>
        <w:pStyle w:val="BodyText"/>
      </w:pPr>
      <w:r>
        <w:t xml:space="preserve">The survey achieved a 78% response rate with 200 completed questionnaires across six community contexts. Gender distribution showed 47% female and 53% male respondents, reflecting efforts to ensure women's representation despite cultural barriers to business leadership in some contexts. Age distribution clustered between 25-45 years (68%), with meaningful representation of both younger innovators (18-24, 12%) and established practitioners (46+, 20%).</w:t>
      </w:r>
    </w:p>
    <w:p>
      <w:pPr>
        <w:pStyle w:val="BodyText"/>
      </w:pPr>
      <w:r>
        <w:t xml:space="preserve">Innovation types showed expected distribution: Adaptation Innovation (32%), Preservation Innovation (24%), Application Innovation (18%), Digital Transformation Innovation (14%), Governance Innovation (8%), and Systemic Innovation (4%). The preponderance of Adaptation and Preservation types reflects their lower barriers to entry compared to more complex innovation categories.</w:t>
      </w:r>
    </w:p>
    <w:p>
      <w:pPr>
        <w:pStyle w:val="Heading3"/>
      </w:pPr>
      <w:r>
        <w:t xml:space="preserve">CIIS Score Distribution</w:t>
      </w:r>
    </w:p>
    <w:p>
      <w:pPr>
        <w:pStyle w:val="BodyText"/>
      </w:pPr>
      <w:r>
        <w:t xml:space="preserve">Mean CIIS score across the sample was 61.3 (SD = 14.7), indicating the majority of innovations fall within the 'Established Cultural Innovation' category (51-75 points). Distribution analysis revealed:</w:t>
      </w:r>
    </w:p>
    <w:p>
      <w:pPr>
        <w:pStyle w:val="ListParagraph"/>
        <w:numPr>
          <w:ilvl w:val="0"/>
          <w:numId w:val="3"/>
        </w:numPr>
        <w:spacing w:after="120"/>
      </w:pPr>
      <w:r>
        <w:t xml:space="preserve">Nascent (0-25): 8% of innovations</w:t>
      </w:r>
    </w:p>
    <w:p>
      <w:pPr>
        <w:pStyle w:val="ListParagraph"/>
        <w:numPr>
          <w:ilvl w:val="0"/>
          <w:numId w:val="3"/>
        </w:numPr>
        <w:spacing w:after="120"/>
      </w:pPr>
      <w:r>
        <w:t xml:space="preserve">Emerging (26-50): 24% of innovations</w:t>
      </w:r>
    </w:p>
    <w:p>
      <w:pPr>
        <w:pStyle w:val="ListParagraph"/>
        <w:numPr>
          <w:ilvl w:val="0"/>
          <w:numId w:val="3"/>
        </w:numPr>
        <w:spacing w:after="120"/>
      </w:pPr>
      <w:r>
        <w:t xml:space="preserve">Established (51-75): 52% of innovations</w:t>
      </w:r>
    </w:p>
    <w:p>
      <w:pPr>
        <w:pStyle w:val="ListParagraph"/>
        <w:numPr>
          <w:ilvl w:val="0"/>
          <w:numId w:val="3"/>
        </w:numPr>
        <w:spacing w:after="200"/>
      </w:pPr>
      <w:r>
        <w:t xml:space="preserve">Transformative (76-100): 16% of innovations</w:t>
      </w:r>
    </w:p>
    <w:p>
      <w:pPr>
        <w:pStyle w:val="BodyText"/>
      </w:pPr>
      <w:r>
        <w:t xml:space="preserve">Subscale analysis revealed interesting patterns. Economic Impact scores (M = 15.8, SD = 4.2) exceeded Cultural Integrity scores (M = 14.2, SD = 3.8), suggesting some tension between economic and cultural objectives. However, correlation analysis showed positive relationship between subscales (r = 0.42, p &lt; .001), indicating that higher-scoring innovations achieved both economic and cultural outcomes rather than trading between them.</w:t>
      </w:r>
    </w:p>
    <w:p>
      <w:pPr>
        <w:pStyle w:val="Heading3"/>
      </w:pPr>
      <w:r>
        <w:t xml:space="preserve">Economic Impact Metrics</w:t>
      </w:r>
    </w:p>
    <w:p>
      <w:pPr>
        <w:pStyle w:val="BodyText"/>
      </w:pPr>
      <w:r>
        <w:t xml:space="preserve">Direct economic impacts showed substantial variation. Average monthly revenue was ₹31,420 (approximately $380 USD), with significant range from subsistence-level (₹5,000) to substantial enterprise (₹500,000+). The top 10% of innovations generated 45% of total revenue, indicating concentration patterns similar to conventional entrepreneurship.</w:t>
      </w:r>
    </w:p>
    <w:p>
      <w:pPr>
        <w:pStyle w:val="BodyText"/>
      </w:pPr>
      <w:r>
        <w:t xml:space="preserve">Employment creation averaged 9.3 jobs per innovation, including full-time (3.2), part-time (4.1), and seasonal/occasional (2.0) positions. Notably, 73% of employment remained within the innovator's community, suggesting strong local multiplier effects. Female employment represented 48% of positions created, exceeding female representation among innovation leaders (47%).</w:t>
      </w:r>
    </w:p>
    <w:p>
      <w:r>
        <w:br w:type="page"/>
      </w:r>
    </w:p>
    <w:p>
      <w:pPr>
        <w:pStyle w:val="Heading1"/>
      </w:pPr>
      <w:r>
        <w:t xml:space="preserve">CHAPTER 5: DISCUSSION</w:t>
      </w:r>
    </w:p>
    <w:p>
      <w:pPr>
        <w:pStyle w:val="Heading2"/>
      </w:pPr>
      <w:r>
        <w:t xml:space="preserve">5.1 Answering the Research Questions</w:t>
      </w:r>
    </w:p>
    <w:p>
      <w:pPr>
        <w:pStyle w:val="Heading3"/>
      </w:pPr>
      <w:r>
        <w:t xml:space="preserve">Primary Research Question</w:t>
      </w:r>
    </w:p>
    <w:p>
      <w:pPr>
        <w:pStyle w:val="BodyText"/>
      </w:pPr>
      <w:r>
        <w:rPr>
          <w:i/>
          <w:iCs/>
        </w:rPr>
        <w:t xml:space="preserve">How does cultural innovation drive economic resilience compared to conventional development?</w:t>
      </w:r>
    </w:p>
    <w:p>
      <w:pPr>
        <w:pStyle w:val="BodyText"/>
      </w:pPr>
      <w:r>
        <w:t xml:space="preserve">The evidence demonstrates that cultural innovation drives economic resilience through multiple simultaneous mechanisms that conventional development approaches cannot replicate. Communities actively pursuing cultural innovation show 35-40% better economic recovery rates during crises, achieve income levels 2-3 times higher than those following conventional paths, and—crucially—report strengthened rather than weakened cultural identity.</w:t>
      </w:r>
    </w:p>
    <w:p>
      <w:pPr>
        <w:pStyle w:val="BodyText"/>
      </w:pPr>
      <w:r>
        <w:t xml:space="preserve">The difference lies not merely in outcomes but in mechanisms. Conventional development typically introduces external resources and models, creating dependencies and cultural displacement. Cultural innovation mobilizes internal resources and adapts existing systems, creating ownership and cultural reinforcement. The result is resilience emerging from within communities rather than imposed from without.</w:t>
      </w:r>
    </w:p>
    <w:p>
      <w:pPr>
        <w:pStyle w:val="Heading2"/>
      </w:pPr>
      <w:r>
        <w:t xml:space="preserve">5.2 The Practitioner-Researcher Experience</w:t>
      </w:r>
    </w:p>
    <w:p>
      <w:pPr>
        <w:pStyle w:val="BodyText"/>
      </w:pPr>
      <w:r>
        <w:t xml:space="preserve">The decision to launch three cultural enterprises alongside academic research proved pivotal. Bambam Karts taught patience and humility—the enterprise failed twice before finding viable model combining traditional design with modern materials. Community skepticism required extended relationship-building before acceptance. The sleepless nights before community presentations, the negotiations with elders about acceptable adaptations, the technical challenges of bamboo-steel integration—these experiences provided insights observation could never generate.</w:t>
      </w:r>
    </w:p>
    <w:p>
      <w:pPr>
        <w:pStyle w:val="BodyText"/>
      </w:pPr>
      <w:r>
        <w:t xml:space="preserve">Treaxures revealed both digital opportunities and platform dependencies. Recognition as G20 YEA Pitch20 Finalist validated the concept internationally while highlighting scalability challenges. How to maintain cultural authenticity when algorithms favor engagement over integrity? How to ensure creator control when platforms extract value? These questions emerged from direct confrontation with digital economy dynamics.</w:t>
      </w:r>
    </w:p>
    <w:p>
      <w:pPr>
        <w:pStyle w:val="BodyText"/>
      </w:pPr>
      <w:r>
        <w:t xml:space="preserve">The Mizo demonstrated how cultural transmission itself becomes innovation. Creating children's books from traditional stories required navigating which narratives could be shared publicly versus which remained community property. Board games based on traditional concepts required balancing accessibility with authenticity. Community discussions revealed tensions between generations about cultural representation.</w:t>
      </w:r>
    </w:p>
    <w:p>
      <w:pPr>
        <w:pStyle w:val="BodyText"/>
      </w:pPr>
      <w:r>
        <w:t xml:space="preserve">The entrepreneur-researcher duality created constant tension but ultimately enriched understanding. Academic training emphasized objectivity and distance while entrepreneurship demanded commitment and engagement. Communities expected solidarity while universities required critical analysis. Balancing these demands developed what I term 'engaged objectivity'—maintaining analytical rigor while acknowledging positioned perspective.</w:t>
      </w:r>
    </w:p>
    <w:p>
      <w:r>
        <w:br w:type="page"/>
      </w:r>
    </w:p>
    <w:p>
      <w:pPr>
        <w:pStyle w:val="Heading1"/>
      </w:pPr>
      <w:r>
        <w:t xml:space="preserve">CHAPTER 6: SUMMARY AND RECOMMENDATIONS</w:t>
      </w:r>
    </w:p>
    <w:p>
      <w:pPr>
        <w:pStyle w:val="Heading2"/>
      </w:pPr>
      <w:r>
        <w:t xml:space="preserve">6.1 Summary of Key Findings</w:t>
      </w:r>
    </w:p>
    <w:p>
      <w:pPr>
        <w:pStyle w:val="BodyText"/>
      </w:pPr>
      <w:r>
        <w:t xml:space="preserve">This research has validated cultural innovation as a distinct economic phenomenon operating through mechanisms fundamentally different from conventional development approaches. The empirical evidence from 200 cultural innovators across six communities confirms that cultural innovation—the dynamic process through which communities creatively adapt their traditional knowledge and practices for contemporary economic value while maintaining cultural integrity—represents a viable pathway to economic resilience that strengthens rather than erodes cultural identity.</w:t>
      </w:r>
    </w:p>
    <w:p>
      <w:pPr>
        <w:pStyle w:val="BodyText"/>
      </w:pPr>
      <w:r>
        <w:t xml:space="preserve">The Cultural Innovation Impact Scale (CIIS) provides the first comprehensive measurement framework capturing cultural innovation's multidimensional impacts. With strong psychometric properties (α = 0.89) and four validated dimensions, the scale enables systematic assessment previously impossible. Communities using the CIIS can now measure progress, identify strengths and weaknesses, and make evidence-based decisions about cultural innovation strategies.</w:t>
      </w:r>
    </w:p>
    <w:p>
      <w:pPr>
        <w:pStyle w:val="BodyText"/>
      </w:pPr>
      <w:r>
        <w:t xml:space="preserve">Success patterns reveal that cultural innovation success depends not on maximizing either tradition or innovation but on finding optimal balance points. The most successful innovators occupied 'goldilocks zones'—maintaining enough tradition for authenticity while incorporating enough innovation for contemporary relevance, embedding deeply enough in communities for legitimacy while maintaining enough autonomy for commercial decisions.</w:t>
      </w:r>
    </w:p>
    <w:p>
      <w:pPr>
        <w:pStyle w:val="Heading2"/>
      </w:pPr>
      <w:r>
        <w:t xml:space="preserve">6.2 Theoretical Contributions</w:t>
      </w:r>
    </w:p>
    <w:p>
      <w:pPr>
        <w:pStyle w:val="BodyText"/>
      </w:pPr>
      <w:r>
        <w:t xml:space="preserve">The research makes five distinct theoretical contributions:</w:t>
      </w:r>
    </w:p>
    <w:p>
      <w:pPr>
        <w:pStyle w:val="ListParagraph"/>
        <w:numPr>
          <w:ilvl w:val="0"/>
          <w:numId w:val="2"/>
        </w:numPr>
        <w:spacing w:after="120"/>
      </w:pPr>
      <w:r>
        <w:rPr>
          <w:b/>
          <w:bCs/>
        </w:rPr>
        <w:t xml:space="preserve">Cultural Innovation Framework: </w:t>
      </w:r>
      <w:r>
        <w:t xml:space="preserve">The first comprehensive theoretical model positioning cultural innovation as economic driver, including typology (six types), enabling conditions (ten factors), and measurement architecture.</w:t>
      </w:r>
    </w:p>
    <w:p>
      <w:pPr>
        <w:pStyle w:val="ListParagraph"/>
        <w:numPr>
          <w:ilvl w:val="0"/>
          <w:numId w:val="2"/>
        </w:numPr>
        <w:spacing w:after="120"/>
      </w:pPr>
      <w:r>
        <w:rPr>
          <w:b/>
          <w:bCs/>
        </w:rPr>
        <w:t xml:space="preserve">Indigenous Cultural Capital Theory: </w:t>
      </w:r>
      <w:r>
        <w:t xml:space="preserve">Extension of Bourdieu's framework accounting for collective ownership, reciprocal distribution, and relational value creation characteristic of indigenous economies.</w:t>
      </w:r>
    </w:p>
    <w:p>
      <w:pPr>
        <w:pStyle w:val="ListParagraph"/>
        <w:numPr>
          <w:ilvl w:val="0"/>
          <w:numId w:val="2"/>
        </w:numPr>
        <w:spacing w:after="120"/>
      </w:pPr>
      <w:r>
        <w:rPr>
          <w:b/>
          <w:bCs/>
        </w:rPr>
        <w:t xml:space="preserve">Practitioner-Researcher Methodology: </w:t>
      </w:r>
      <w:r>
        <w:t xml:space="preserve">Model for entrepreneurial research where scholars test theories through their own ventures, providing insights inaccessible through conventional observation.</w:t>
      </w:r>
    </w:p>
    <w:p>
      <w:pPr>
        <w:pStyle w:val="ListParagraph"/>
        <w:numPr>
          <w:ilvl w:val="0"/>
          <w:numId w:val="2"/>
        </w:numPr>
        <w:spacing w:after="120"/>
      </w:pPr>
      <w:r>
        <w:rPr>
          <w:b/>
          <w:bCs/>
        </w:rPr>
        <w:t xml:space="preserve">Cultural Resilience Mechanisms: </w:t>
      </w:r>
      <w:r>
        <w:t xml:space="preserve">Documentation of how cultural practices create economic resilience through diversification, risk-sharing, and adaptive capacity.</w:t>
      </w:r>
    </w:p>
    <w:p>
      <w:pPr>
        <w:pStyle w:val="ListParagraph"/>
        <w:numPr>
          <w:ilvl w:val="0"/>
          <w:numId w:val="2"/>
        </w:numPr>
        <w:spacing w:after="200"/>
      </w:pPr>
      <w:r>
        <w:rPr>
          <w:b/>
          <w:bCs/>
        </w:rPr>
        <w:t xml:space="preserve">Post-Development Alternative: </w:t>
      </w:r>
      <w:r>
        <w:t xml:space="preserve">Movement from critique to construction, offering empirically-validated models for development through rather than despite cultural foundations.</w:t>
      </w:r>
    </w:p>
    <w:p>
      <w:pPr>
        <w:pStyle w:val="Heading2"/>
      </w:pPr>
      <w:r>
        <w:t xml:space="preserve">6.3 Policy Recommendations</w:t>
      </w:r>
    </w:p>
    <w:p>
      <w:pPr>
        <w:pStyle w:val="Heading3"/>
      </w:pPr>
      <w:r>
        <w:t xml:space="preserve">Immediate Actions</w:t>
      </w:r>
    </w:p>
    <w:p>
      <w:pPr>
        <w:pStyle w:val="BodyText"/>
      </w:pPr>
      <w:r>
        <w:rPr>
          <w:b/>
          <w:bCs/>
        </w:rPr>
        <w:t xml:space="preserve">Recognition Frameworks: </w:t>
      </w:r>
      <w:r>
        <w:t xml:space="preserve">Governments should establish cultural innovation categories in economic statistics, enterprise registration systems, and development planning. This recognition enables cultural innovators to access support programs, financial services, and markets currently unavailable due to invisibility in official systems.</w:t>
      </w:r>
    </w:p>
    <w:p>
      <w:pPr>
        <w:pStyle w:val="BodyText"/>
      </w:pPr>
      <w:r>
        <w:rPr>
          <w:b/>
          <w:bCs/>
        </w:rPr>
        <w:t xml:space="preserve">Legal Protections: </w:t>
      </w:r>
      <w:r>
        <w:t xml:space="preserve">Immediate actions include establishing registers of traditional knowledge and cultural assets, developing community protocols governing access and benefit sharing, creating expedited trademark and geographical indication processes for cultural products, and strengthening enforcement against unauthorized use.</w:t>
      </w:r>
    </w:p>
    <w:p>
      <w:pPr>
        <w:pStyle w:val="BodyText"/>
      </w:pPr>
      <w:r>
        <w:rPr>
          <w:b/>
          <w:bCs/>
        </w:rPr>
        <w:t xml:space="preserve">Investment Mechanisms: </w:t>
      </w:r>
      <w:r>
        <w:t xml:space="preserve">Development of patient capital instruments aligned with cultural innovation's longer development cycles. This includes social impact bonds linking cultural preservation with economic outcomes, blended finance combining grants for cultural components with loans for commercial elements, and community development finance institutions specializing in cultural enterprises.</w:t>
      </w:r>
    </w:p>
    <w:p>
      <w:pPr>
        <w:pStyle w:val="Heading2"/>
      </w:pPr>
      <w:r>
        <w:t xml:space="preserve">6.4 Practical Tools and Frameworks</w:t>
      </w:r>
    </w:p>
    <w:p>
      <w:pPr>
        <w:pStyle w:val="BodyText"/>
      </w:pPr>
      <w:r>
        <w:t xml:space="preserve">This research delivers immediately applicable tools for practitioners:</w:t>
      </w:r>
    </w:p>
    <w:p>
      <w:pPr>
        <w:pStyle w:val="ListParagraph"/>
        <w:numPr>
          <w:ilvl w:val="0"/>
          <w:numId w:val="3"/>
        </w:numPr>
        <w:spacing w:after="120"/>
      </w:pPr>
      <w:r>
        <w:rPr>
          <w:b/>
          <w:bCs/>
        </w:rPr>
        <w:t xml:space="preserve">Cultural Innovation Impact Scale (CIIS): </w:t>
      </w:r>
      <w:r>
        <w:t xml:space="preserve">100-point assessment tool measuring economic, cultural, innovation, and resilience dimensions (Appendix B).</w:t>
      </w:r>
    </w:p>
    <w:p>
      <w:pPr>
        <w:pStyle w:val="ListParagraph"/>
        <w:numPr>
          <w:ilvl w:val="0"/>
          <w:numId w:val="3"/>
        </w:numPr>
        <w:spacing w:after="120"/>
      </w:pPr>
      <w:r>
        <w:rPr>
          <w:b/>
          <w:bCs/>
        </w:rPr>
        <w:t xml:space="preserve">Cultural Innovation Readiness Assessment (CIRA): </w:t>
      </w:r>
      <w:r>
        <w:t xml:space="preserve">Diagnostic tool identifying enabling conditions present/absent in communities (Appendix C).</w:t>
      </w:r>
    </w:p>
    <w:p>
      <w:pPr>
        <w:pStyle w:val="ListParagraph"/>
        <w:numPr>
          <w:ilvl w:val="0"/>
          <w:numId w:val="3"/>
        </w:numPr>
        <w:spacing w:after="120"/>
      </w:pPr>
      <w:r>
        <w:rPr>
          <w:b/>
          <w:bCs/>
        </w:rPr>
        <w:t xml:space="preserve">Innovation Governance Framework: </w:t>
      </w:r>
      <w:r>
        <w:t xml:space="preserve">Model structures for community innovation decision-making (Appendix D).</w:t>
      </w:r>
    </w:p>
    <w:p>
      <w:pPr>
        <w:pStyle w:val="ListParagraph"/>
        <w:numPr>
          <w:ilvl w:val="0"/>
          <w:numId w:val="3"/>
        </w:numPr>
        <w:spacing w:after="200"/>
      </w:pPr>
      <w:r>
        <w:rPr>
          <w:b/>
          <w:bCs/>
        </w:rPr>
        <w:t xml:space="preserve">Benefit Distribution Template: </w:t>
      </w:r>
      <w:r>
        <w:t xml:space="preserve">Agreements ensuring equitable sharing of innovation returns (Appendix E).</w:t>
      </w:r>
    </w:p>
    <w:p>
      <w:pPr>
        <w:pStyle w:val="Heading2"/>
      </w:pPr>
      <w:r>
        <w:t xml:space="preserve">6.5 Conclusion: A Paradigm Shift</w:t>
      </w:r>
    </w:p>
    <w:p>
      <w:pPr>
        <w:pStyle w:val="BodyText"/>
      </w:pPr>
      <w:r>
        <w:t xml:space="preserve">This research responds to an urgent crisis—communities worldwide being forced to sacrifice their identities for economic survival—with a transformative proposition: culture is not a barrier to development but potentially its most powerful driver. By documenting how communities innovate from their cultural foundations, this dissertation provides both theoretical frameworks and practical tools for a new development paradigm that achieves what conventional approaches have failed to deliver: prosperous communities with strengthened cultural identities.</w:t>
      </w:r>
    </w:p>
    <w:p>
      <w:pPr>
        <w:pStyle w:val="BodyText"/>
      </w:pPr>
      <w:r>
        <w:t xml:space="preserve">The ultimate significance lies not just in preserving cultures or reducing poverty, but in demonstrating that humanity's diverse cultural heritage represents vast repositories of innovation potential for addressing contemporary challenges. In an era of climate crisis, social fragmentation, and economic inequality, the traditional knowledge and social systems of indigenous communities offer tested solutions. Cultural innovation provides the mechanism for scaling these solutions while ensuring communities benefit from their own heritage.</w:t>
      </w:r>
    </w:p>
    <w:p>
      <w:pPr>
        <w:pStyle w:val="BodyText"/>
      </w:pPr>
      <w:r>
        <w:t xml:space="preserve">The path forward lies not in choosing between tradition and modernity, but in understanding that the most innovative thing communities can do is remember—and reimagine—who they are.</w:t>
      </w:r>
    </w:p>
    <w:p>
      <w:r>
        <w:br w:type="page"/>
      </w:r>
    </w:p>
    <w:p>
      <w:pPr>
        <w:pStyle w:val="Heading1"/>
      </w:pPr>
      <w:r>
        <w:t xml:space="preserve">BIBLIOGRAPHY</w:t>
      </w:r>
    </w:p>
    <w:p>
      <w:pPr>
        <w:spacing w:after="240"/>
      </w:pPr>
    </w:p>
    <w:p>
      <w:pPr>
        <w:pStyle w:val="BodyText"/>
        <w:ind w:left="720" w:hanging="720"/>
      </w:pPr>
      <w:r>
        <w:t xml:space="preserve">Adamson, R. (2002). First Nations Development Institute: Changes in the Land—A Collaborative Research Report. Longmont, CO: First Nations Development Institute.</w:t>
      </w:r>
    </w:p>
    <w:p>
      <w:pPr>
        <w:pStyle w:val="BodyText"/>
        <w:ind w:left="720" w:hanging="720"/>
      </w:pPr>
      <w:r>
        <w:t xml:space="preserve">Bhaskar, R. (1975). A Realist Theory of Science. London: Verso.</w:t>
      </w:r>
    </w:p>
    <w:p>
      <w:pPr>
        <w:pStyle w:val="BodyText"/>
        <w:ind w:left="720" w:hanging="720"/>
      </w:pPr>
      <w:r>
        <w:t xml:space="preserve">Bourdieu, P. (1986). The forms of capital. In J. Richardson (Ed.), Handbook of Theory and Research for the Sociology of Education (pp. 241-258). New York: Greenwood.</w:t>
      </w:r>
    </w:p>
    <w:p>
      <w:pPr>
        <w:pStyle w:val="BodyText"/>
        <w:ind w:left="720" w:hanging="720"/>
      </w:pPr>
      <w:r>
        <w:t xml:space="preserve">Cornell, S., &amp; Kalt, J. P. (2007). Two approaches to the development of Native nations: One works, the other doesn't. In M. Jorgensen (Ed.), Rebuilding Native Nations (pp. 3-33). Tucson: University of Arizona Press.</w:t>
      </w:r>
    </w:p>
    <w:p>
      <w:pPr>
        <w:pStyle w:val="BodyText"/>
        <w:ind w:left="720" w:hanging="720"/>
      </w:pPr>
      <w:r>
        <w:t xml:space="preserve">Côté, R., &amp; Evans, M. (2025). Unpacking Indigenous Social Mobility: Entrepreneurs, Social Networks, and Connections to Culture. Journal of Indigenous Wellbeing, 10(1), 42-68.</w:t>
      </w:r>
    </w:p>
    <w:p>
      <w:pPr>
        <w:pStyle w:val="BodyText"/>
        <w:ind w:left="720" w:hanging="720"/>
      </w:pPr>
      <w:r>
        <w:t xml:space="preserve">Easterly, W. (2013). The Tyranny of Experts: Economists, Dictators, and the Forgotten Rights of the Poor. New York: Basic Books.</w:t>
      </w:r>
    </w:p>
    <w:p>
      <w:pPr>
        <w:pStyle w:val="BodyText"/>
        <w:ind w:left="720" w:hanging="720"/>
      </w:pPr>
      <w:r>
        <w:t xml:space="preserve">Escobar, A. (1995). Encountering Development: The Making and Unmaking of the Third World. Princeton: Princeton University Press.</w:t>
      </w:r>
    </w:p>
    <w:p>
      <w:pPr>
        <w:pStyle w:val="BodyText"/>
        <w:ind w:left="720" w:hanging="720"/>
      </w:pPr>
      <w:r>
        <w:t xml:space="preserve">Govindarajan, V., &amp; Trimble, C. (2012). Reverse Innovation: Create Far From Home, Win Everywhere. Boston: Harvard Business Review Press.</w:t>
      </w:r>
    </w:p>
    <w:p>
      <w:pPr>
        <w:pStyle w:val="BodyText"/>
        <w:ind w:left="720" w:hanging="720"/>
      </w:pPr>
      <w:r>
        <w:t xml:space="preserve">Gudynas, E. (2011). Buen Vivir: Today's tomorrow. Development, 54(4), 441-447.</w:t>
      </w:r>
    </w:p>
    <w:p>
      <w:pPr>
        <w:pStyle w:val="BodyText"/>
        <w:ind w:left="720" w:hanging="720"/>
      </w:pPr>
      <w:r>
        <w:t xml:space="preserve">Gupta, A. K. (2012). Innovations for the poor by the poor. International Journal of Technological Learning, Innovation and Development, 5(1-2), 28-39.</w:t>
      </w:r>
    </w:p>
    <w:p>
      <w:pPr>
        <w:pStyle w:val="BodyText"/>
        <w:ind w:left="720" w:hanging="720"/>
      </w:pPr>
      <w:r>
        <w:t xml:space="preserve">Holling, C. S. (1973). Resilience and stability of ecological systems. Annual Review of Ecology and Systematics, 4, 1-23.</w:t>
      </w:r>
    </w:p>
    <w:p>
      <w:pPr>
        <w:pStyle w:val="BodyText"/>
        <w:ind w:left="720" w:hanging="720"/>
      </w:pPr>
      <w:r>
        <w:t xml:space="preserve">LaDuke, W. (1999). All Our Relations: Native Struggles for Land and Life. Cambridge, MA: South End Press.</w:t>
      </w:r>
    </w:p>
    <w:p>
      <w:pPr>
        <w:pStyle w:val="BodyText"/>
        <w:ind w:left="720" w:hanging="720"/>
      </w:pPr>
      <w:r>
        <w:t xml:space="preserve">MBIE (Ministry of Business, Innovation and Employment). (2023). Te Ōhanga Māori 2023: The Māori Economy Report. Wellington: New Zealand Government.</w:t>
      </w:r>
    </w:p>
    <w:p>
      <w:pPr>
        <w:pStyle w:val="BodyText"/>
        <w:ind w:left="720" w:hanging="720"/>
      </w:pPr>
      <w:r>
        <w:t xml:space="preserve">NIEDB (National Indigenous Economic Development Board). (2021). The Indigenous Economic Progress Report 2020. Ottawa: NIEDB.</w:t>
      </w:r>
    </w:p>
    <w:p>
      <w:pPr>
        <w:pStyle w:val="BodyText"/>
        <w:ind w:left="720" w:hanging="720"/>
      </w:pPr>
      <w:r>
        <w:t xml:space="preserve">NIGC (National Indian Gaming Commission). (2024). Gross Gaming Revenue Trending. Washington, DC: NIGC.</w:t>
      </w:r>
    </w:p>
    <w:p>
      <w:pPr>
        <w:pStyle w:val="BodyText"/>
        <w:ind w:left="720" w:hanging="720"/>
      </w:pPr>
      <w:r>
        <w:t xml:space="preserve">Norris, F. H., et al. (2008). Community resilience as a metaphor, theory, set of capacities, and strategy for disaster readiness. American Journal of Community Psychology, 41(1-2), 127-150.</w:t>
      </w:r>
    </w:p>
    <w:p>
      <w:pPr>
        <w:pStyle w:val="BodyText"/>
        <w:ind w:left="720" w:hanging="720"/>
      </w:pPr>
      <w:r>
        <w:t xml:space="preserve">Radjou, N., &amp; Prabhu, J. (2015). Frugal Innovation: How to Do More with Less. New York: PublicAffairs.</w:t>
      </w:r>
    </w:p>
    <w:p>
      <w:pPr>
        <w:pStyle w:val="BodyText"/>
        <w:ind w:left="720" w:hanging="720"/>
      </w:pPr>
      <w:r>
        <w:t xml:space="preserve">Rostow, W. W. (1960). The Stages of Economic Growth: A Non-Communist Manifesto. Cambridge: Cambridge University Press.</w:t>
      </w:r>
    </w:p>
    <w:p>
      <w:pPr>
        <w:pStyle w:val="BodyText"/>
        <w:ind w:left="720" w:hanging="720"/>
      </w:pPr>
      <w:r>
        <w:t xml:space="preserve">Sayer, A. (2000). Realism and Social Science. London: Sage.</w:t>
      </w:r>
    </w:p>
    <w:p>
      <w:pPr>
        <w:pStyle w:val="BodyText"/>
        <w:ind w:left="720" w:hanging="720"/>
      </w:pPr>
      <w:r>
        <w:t xml:space="preserve">Schumpeter, J. A. (1942). Capitalism, Socialism and Democracy. New York: Harper &amp; Brothers.</w:t>
      </w:r>
    </w:p>
    <w:p>
      <w:pPr>
        <w:pStyle w:val="BodyText"/>
        <w:ind w:left="720" w:hanging="720"/>
      </w:pPr>
      <w:r>
        <w:t xml:space="preserve">Sen, A. (1999). Development as Freedom. Oxford: Oxford University Press.</w:t>
      </w:r>
    </w:p>
    <w:p>
      <w:pPr>
        <w:pStyle w:val="BodyText"/>
        <w:ind w:left="720" w:hanging="720"/>
      </w:pPr>
      <w:r>
        <w:t xml:space="preserve">Smith, L. T. (2012). Decolonizing Methodologies: Research and Indigenous Peoples (2nd ed.). London: Zed Books.</w:t>
      </w:r>
    </w:p>
    <w:p>
      <w:pPr>
        <w:pStyle w:val="BodyText"/>
        <w:ind w:left="720" w:hanging="720"/>
      </w:pPr>
      <w:r>
        <w:t xml:space="preserve">Throsby, D. (2001). Economics and Culture. Cambridge: Cambridge University Press.</w:t>
      </w:r>
    </w:p>
    <w:p>
      <w:pPr>
        <w:pStyle w:val="BodyText"/>
        <w:ind w:left="720" w:hanging="720"/>
      </w:pPr>
      <w:r>
        <w:t xml:space="preserve">Woolcock, M., &amp; Narayan, D. (2000). Social capital: Implications for development theory, research, and policy. The World Bank Research Observer, 15(2), 225-249.</w:t>
      </w:r>
    </w:p>
    <w:p>
      <w:pPr>
        <w:pStyle w:val="BodyText"/>
        <w:ind w:left="720" w:hanging="720"/>
      </w:pPr>
      <w:r>
        <w:t xml:space="preserve">World Bank. (2023). Indigenous Peoples Overview. Washington, DC: World Bank Group.</w:t>
      </w:r>
    </w:p>
    <w:p>
      <w:r>
        <w:br w:type="page"/>
      </w:r>
    </w:p>
    <w:p>
      <w:pPr>
        <w:pStyle w:val="Heading1"/>
      </w:pPr>
      <w:r>
        <w:t xml:space="preserve">APPENDICES</w:t>
      </w:r>
    </w:p>
    <w:p>
      <w:pPr>
        <w:spacing w:after="240"/>
      </w:pPr>
    </w:p>
    <w:p>
      <w:pPr>
        <w:pStyle w:val="BodyText"/>
      </w:pPr>
      <w:r>
        <w:rPr>
          <w:b/>
          <w:bCs/>
        </w:rPr>
        <w:t xml:space="preserve">Appendix A: </w:t>
      </w:r>
      <w:r>
        <w:t xml:space="preserve">Research Instruments (Survey Questionnaire, Interview Protocols, Focus Group Guides)</w:t>
      </w:r>
    </w:p>
    <w:p>
      <w:pPr>
        <w:pStyle w:val="BodyText"/>
      </w:pPr>
      <w:r>
        <w:rPr>
          <w:b/>
          <w:bCs/>
        </w:rPr>
        <w:t xml:space="preserve">Appendix B: </w:t>
      </w:r>
      <w:r>
        <w:t xml:space="preserve">The Cultural Innovation Impact Scale (CIIS) - Full Scale, Scoring Guide, Validation Data</w:t>
      </w:r>
    </w:p>
    <w:p>
      <w:pPr>
        <w:pStyle w:val="BodyText"/>
      </w:pPr>
      <w:r>
        <w:rPr>
          <w:b/>
          <w:bCs/>
        </w:rPr>
        <w:t xml:space="preserve">Appendix C: </w:t>
      </w:r>
      <w:r>
        <w:t xml:space="preserve">Cultural Innovation Readiness Assessment (CIRA)</w:t>
      </w:r>
    </w:p>
    <w:p>
      <w:pPr>
        <w:pStyle w:val="BodyText"/>
      </w:pPr>
      <w:r>
        <w:rPr>
          <w:b/>
          <w:bCs/>
        </w:rPr>
        <w:t xml:space="preserve">Appendix D: </w:t>
      </w:r>
      <w:r>
        <w:t xml:space="preserve">Innovation Governance Framework Templates</w:t>
      </w:r>
    </w:p>
    <w:p>
      <w:pPr>
        <w:pStyle w:val="BodyText"/>
      </w:pPr>
      <w:r>
        <w:rPr>
          <w:b/>
          <w:bCs/>
        </w:rPr>
        <w:t xml:space="preserve">Appendix E: </w:t>
      </w:r>
      <w:r>
        <w:t xml:space="preserve">Benefit Distribution Agreement Templates</w:t>
      </w:r>
    </w:p>
    <w:p>
      <w:pPr>
        <w:pStyle w:val="BodyText"/>
      </w:pPr>
      <w:r>
        <w:rPr>
          <w:b/>
          <w:bCs/>
        </w:rPr>
        <w:t xml:space="preserve">Appendix F: </w:t>
      </w:r>
      <w:r>
        <w:t xml:space="preserve">Case Study Profiles - Detailed Entrepreneur Profiles and Innovation Journeys</w:t>
      </w:r>
    </w:p>
    <w:p>
      <w:pPr>
        <w:pStyle w:val="BodyText"/>
      </w:pPr>
      <w:r>
        <w:rPr>
          <w:b/>
          <w:bCs/>
        </w:rPr>
        <w:t xml:space="preserve">Appendix G: </w:t>
      </w:r>
      <w:r>
        <w:t xml:space="preserve">Statistical Analyses - Regression Tables, Factor Analysis Results, QCA Truth Tables</w:t>
      </w:r>
    </w:p>
    <w:p>
      <w:pPr>
        <w:pStyle w:val="BodyText"/>
      </w:pPr>
      <w:r>
        <w:rPr>
          <w:b/>
          <w:bCs/>
        </w:rPr>
        <w:t xml:space="preserve">Appendix H: </w:t>
      </w:r>
      <w:r>
        <w:t xml:space="preserve">Ethics Approval Documentation and Consent Forms</w:t>
      </w:r>
    </w:p>
    <w:p>
      <w:pPr>
        <w:pStyle w:val="BodyText"/>
      </w:pPr>
      <w:r>
        <w:rPr>
          <w:b/>
          <w:bCs/>
        </w:rPr>
        <w:t xml:space="preserve">Appendix I: </w:t>
      </w:r>
      <w:r>
        <w:t xml:space="preserve">Living Laboratory Documentation - Bambam Karts, Treaxures, The Mizo</w:t>
      </w:r>
    </w:p>
    <w:sectPr>
      <w:headerReference w:type="default" r:id="rId6"/>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Cultural Innovation as a Driver for Economic Resilience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Times New Roman" w:cs="Times New Roman" w:eastAsia="Times New Roman" w:hAnsi="Times New Roman"/>
      <w:b/>
      <w:bCs/>
      <w:color w:val="000000"/>
      <w:sz w:val="56"/>
      <w:szCs w:val="56"/>
    </w:rPr>
  </w:style>
  <w:style w:type="paragraph" w:styleId="Heading1">
    <w:name w:val="Heading 1"/>
    <w:basedOn w:val="Normal"/>
    <w:next w:val="Normal"/>
    <w:qFormat/>
    <w:pPr>
      <w:spacing w:before="480" w:after="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before="360" w:after="18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before="240" w:after="120"/>
      <w:outlineLvl w:val="2"/>
    </w:pPr>
    <w:rPr>
      <w:rFonts w:ascii="Times New Roman" w:cs="Times New Roman" w:eastAsia="Times New Roman" w:hAnsi="Times New Roman"/>
      <w:b/>
      <w:bCs/>
      <w:i/>
      <w:iCs/>
      <w:color w:val="000000"/>
      <w:sz w:val="26"/>
      <w:szCs w:val="26"/>
    </w:rPr>
  </w:style>
  <w:style w:type="paragraph" w:styleId="Abstract">
    <w:name w:val="Abstract"/>
    <w:basedOn w:val="Normal"/>
    <w:pPr>
      <w:spacing w:after="240" w:line="276"/>
      <w:jc w:val="both"/>
    </w:pPr>
    <w:rPr>
      <w:rFonts w:ascii="Times New Roman" w:cs="Times New Roman" w:eastAsia="Times New Roman" w:hAnsi="Times New Roman"/>
      <w:sz w:val="22"/>
      <w:szCs w:val="22"/>
    </w:rPr>
  </w:style>
  <w:style w:type="paragraph" w:styleId="BodyText">
    <w:name w:val="Body Text"/>
    <w:basedOn w:val="Normal"/>
    <w:pPr>
      <w:spacing w:after="200" w:line="360"/>
      <w:jc w:val="both"/>
    </w:pPr>
    <w:rPr>
      <w:rFonts w:ascii="Times New Roman" w:cs="Times New Roman" w:eastAsia="Times New Roman" w:hAnsi="Times New Roman"/>
      <w:sz w:val="24"/>
      <w:szCs w:val="24"/>
    </w:rPr>
  </w:style>
  <w:style w:type="paragraph" w:styleId="BlockQuote">
    <w:name w:val="Block Quote"/>
    <w:basedOn w:val="Normal"/>
    <w:pPr>
      <w:spacing w:after="200"/>
      <w:ind w:left="720" w:right="720"/>
    </w:pPr>
    <w:rPr>
      <w:rFonts w:ascii="Times New Roman" w:cs="Times New Roman" w:eastAsia="Times New Roman" w:hAnsi="Times New Roman"/>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2025-12-23T09:07:01.182Z</dcterms:created>
  <dcterms:modified xsi:type="dcterms:W3CDTF">2025-12-23T09:07:01.183Z</dcterms:modified>
</cp:coreProperties>
</file>

<file path=docProps/custom.xml><?xml version="1.0" encoding="utf-8"?>
<Properties xmlns="http://schemas.openxmlformats.org/officeDocument/2006/custom-properties" xmlns:vt="http://schemas.openxmlformats.org/officeDocument/2006/docPropsVTypes"/>
</file>