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99966" w14:textId="77777777" w:rsidR="00A15643" w:rsidRDefault="00A15643"/>
    <w:p w14:paraId="226F6827" w14:textId="77777777" w:rsidR="0085026D" w:rsidRPr="0085026D" w:rsidRDefault="0085026D" w:rsidP="0085026D">
      <w:r w:rsidRPr="0085026D">
        <w:rPr>
          <w:b/>
          <w:bCs/>
        </w:rPr>
        <w:t>Confirmed working case list — 20 cases:</w:t>
      </w:r>
    </w:p>
    <w:p w14:paraId="26FB68A0" w14:textId="77777777" w:rsidR="0085026D" w:rsidRPr="0085026D" w:rsidRDefault="0085026D" w:rsidP="0085026D">
      <w:r w:rsidRPr="0085026D">
        <w:t>Animal welfare (1–8):</w:t>
      </w:r>
    </w:p>
    <w:p w14:paraId="15E98E68" w14:textId="77777777" w:rsidR="0085026D" w:rsidRPr="0085026D" w:rsidRDefault="0085026D" w:rsidP="00043AF9">
      <w:pPr>
        <w:numPr>
          <w:ilvl w:val="0"/>
          <w:numId w:val="19"/>
        </w:numPr>
      </w:pPr>
      <w:r w:rsidRPr="0085026D">
        <w:t>US Cage-Free Corporate Campaign (2015–2016)</w:t>
      </w:r>
    </w:p>
    <w:p w14:paraId="3C08DBD0" w14:textId="77777777" w:rsidR="0085026D" w:rsidRPr="0085026D" w:rsidRDefault="0085026D" w:rsidP="00043AF9">
      <w:pPr>
        <w:numPr>
          <w:ilvl w:val="0"/>
          <w:numId w:val="19"/>
        </w:numPr>
      </w:pPr>
      <w:r w:rsidRPr="0085026D">
        <w:t>Better Chicken Commitment Europe (2017–2026)</w:t>
      </w:r>
    </w:p>
    <w:p w14:paraId="3AE57E99" w14:textId="77777777" w:rsidR="0085026D" w:rsidRPr="0085026D" w:rsidRDefault="0085026D" w:rsidP="00043AF9">
      <w:pPr>
        <w:numPr>
          <w:ilvl w:val="0"/>
          <w:numId w:val="19"/>
        </w:numPr>
      </w:pPr>
      <w:r w:rsidRPr="0085026D">
        <w:t>SeaWorld / Anti-Captivity Post-Blackfish (2013+)</w:t>
      </w:r>
    </w:p>
    <w:p w14:paraId="11368ABA" w14:textId="77777777" w:rsidR="0085026D" w:rsidRPr="0085026D" w:rsidRDefault="0085026D" w:rsidP="00043AF9">
      <w:pPr>
        <w:numPr>
          <w:ilvl w:val="0"/>
          <w:numId w:val="19"/>
        </w:numPr>
      </w:pPr>
      <w:r w:rsidRPr="0085026D">
        <w:t>Mexico Constitutional Animal Protection Reform (2024)</w:t>
      </w:r>
    </w:p>
    <w:p w14:paraId="7474BE8F" w14:textId="77777777" w:rsidR="0085026D" w:rsidRPr="0085026D" w:rsidRDefault="0085026D" w:rsidP="00043AF9">
      <w:pPr>
        <w:numPr>
          <w:ilvl w:val="0"/>
          <w:numId w:val="19"/>
        </w:numPr>
      </w:pPr>
      <w:r w:rsidRPr="0085026D">
        <w:t>Sinergia Animal Global South (2018–present)</w:t>
      </w:r>
    </w:p>
    <w:p w14:paraId="3DBF6E9B" w14:textId="77777777" w:rsidR="0085026D" w:rsidRPr="0085026D" w:rsidRDefault="0085026D" w:rsidP="00043AF9">
      <w:pPr>
        <w:numPr>
          <w:ilvl w:val="0"/>
          <w:numId w:val="19"/>
        </w:numPr>
      </w:pPr>
      <w:r w:rsidRPr="0085026D">
        <w:t>UK Live Export Ban (2017–2024)</w:t>
      </w:r>
    </w:p>
    <w:p w14:paraId="7403177B" w14:textId="77777777" w:rsidR="0085026D" w:rsidRPr="0085026D" w:rsidRDefault="0085026D" w:rsidP="00043AF9">
      <w:pPr>
        <w:numPr>
          <w:ilvl w:val="0"/>
          <w:numId w:val="19"/>
        </w:numPr>
      </w:pPr>
      <w:r w:rsidRPr="0085026D">
        <w:t>New Zealand Live Export Ban (2019–2026)</w:t>
      </w:r>
    </w:p>
    <w:p w14:paraId="35A8CE75" w14:textId="77777777" w:rsidR="0085026D" w:rsidRPr="0085026D" w:rsidRDefault="0085026D" w:rsidP="00043AF9">
      <w:pPr>
        <w:numPr>
          <w:ilvl w:val="0"/>
          <w:numId w:val="19"/>
        </w:numPr>
      </w:pPr>
      <w:r w:rsidRPr="0085026D">
        <w:t>UK Foie Gras Import Ban (2021–present)</w:t>
      </w:r>
    </w:p>
    <w:p w14:paraId="28053340" w14:textId="77777777" w:rsidR="0085026D" w:rsidRPr="0085026D" w:rsidRDefault="0085026D" w:rsidP="0085026D">
      <w:r w:rsidRPr="0085026D">
        <w:t>Non-animal welfare (9–20):</w:t>
      </w:r>
      <w:r w:rsidRPr="0085026D">
        <w:br/>
        <w:t>9. Australian Marriage Equality Postal Survey (2017)</w:t>
      </w:r>
      <w:r w:rsidRPr="0085026D">
        <w:br/>
        <w:t>10. Australian Plain Packaging Tobacco (2011)</w:t>
      </w:r>
      <w:r w:rsidRPr="0085026D">
        <w:br/>
        <w:t>11. #MeToo / Workplace Harassment Norm Shift (2017+)</w:t>
      </w:r>
      <w:r w:rsidRPr="0085026D">
        <w:br/>
        <w:t>12. Leaded Petrol Global Phase-Out (completed 2021)</w:t>
      </w:r>
      <w:r w:rsidRPr="0085026D">
        <w:br/>
        <w:t>13. Rana Plaza / Bangladesh Accord Origin (2013)</w:t>
      </w:r>
      <w:r w:rsidRPr="0085026D">
        <w:br/>
        <w:t>14. Black Lives Matter / Policing Reform (2020, contested win)</w:t>
      </w:r>
      <w:r w:rsidRPr="0085026D">
        <w:br/>
        <w:t>15. EU Corporate Sustainability Due Diligence Directive (2022–2024)</w:t>
      </w:r>
      <w:r w:rsidRPr="0085026D">
        <w:br/>
        <w:t>16. Every Australian Counts / NDIS (2011–2013)</w:t>
      </w:r>
      <w:r w:rsidRPr="0085026D">
        <w:br/>
        <w:t>17. Australian Mandatory Detention Campaign (1992–present)</w:t>
      </w:r>
      <w:r w:rsidRPr="0085026D">
        <w:br/>
        <w:t>18. #EndSARS Nigeria (2017–2020, contested win)</w:t>
      </w:r>
      <w:r w:rsidRPr="0085026D">
        <w:br/>
        <w:t>19. Brazil MST Narrative Reframe (2010s–present)</w:t>
      </w:r>
      <w:r w:rsidRPr="0085026D">
        <w:br/>
        <w:t>20. Greenpeace Detox My Fashion (2011–2021)</w:t>
      </w:r>
    </w:p>
    <w:p w14:paraId="70965806" w14:textId="77777777" w:rsidR="0085026D" w:rsidRDefault="0085026D" w:rsidP="0085026D"/>
    <w:p w14:paraId="48C45178" w14:textId="20D838D8" w:rsidR="00AF3847" w:rsidRDefault="008E7E1A" w:rsidP="00BD455E">
      <w:pPr>
        <w:pStyle w:val="Heading1"/>
      </w:pPr>
      <w:r>
        <w:t xml:space="preserve">LOCKED </w:t>
      </w:r>
      <w:r w:rsidR="00BB3244">
        <w:t xml:space="preserve">Case </w:t>
      </w:r>
      <w:r>
        <w:t>#</w:t>
      </w:r>
      <w:r w:rsidR="00BB3244">
        <w:t xml:space="preserve">1 </w:t>
      </w:r>
      <w:r w:rsidR="00BB3244" w:rsidRPr="00BB3244">
        <w:rPr>
          <w:b/>
          <w:bCs/>
        </w:rPr>
        <w:t>US Cage-Free Corporate</w:t>
      </w:r>
      <w:r>
        <w:rPr>
          <w:b/>
          <w:bCs/>
        </w:rPr>
        <w:t xml:space="preserve"> </w:t>
      </w:r>
      <w:r w:rsidR="00BB3244" w:rsidRPr="00BB3244">
        <w:rPr>
          <w:b/>
          <w:bCs/>
        </w:rPr>
        <w:t>(2015–2016)</w:t>
      </w:r>
    </w:p>
    <w:p w14:paraId="518D9945" w14:textId="77777777" w:rsidR="001179E1" w:rsidRPr="008E7E1A" w:rsidRDefault="001179E1" w:rsidP="001179E1">
      <w:pPr>
        <w:rPr>
          <w:b/>
          <w:bCs/>
          <w:sz w:val="20"/>
          <w:szCs w:val="20"/>
        </w:rPr>
      </w:pPr>
      <w:r w:rsidRPr="008E7E1A">
        <w:rPr>
          <w:b/>
          <w:bCs/>
          <w:sz w:val="20"/>
          <w:szCs w:val="20"/>
        </w:rPr>
        <w:t>LIST B — EVIDENCE / CONFIDENCE / SOURCE TAG</w:t>
      </w:r>
    </w:p>
    <w:p w14:paraId="403DCFF2" w14:textId="77777777" w:rsidR="001179E1" w:rsidRPr="008E7E1A" w:rsidRDefault="001179E1" w:rsidP="00043AF9">
      <w:pPr>
        <w:numPr>
          <w:ilvl w:val="0"/>
          <w:numId w:val="15"/>
        </w:numPr>
        <w:rPr>
          <w:sz w:val="20"/>
          <w:szCs w:val="20"/>
        </w:rPr>
      </w:pPr>
      <w:r w:rsidRPr="008E7E1A">
        <w:rPr>
          <w:b/>
          <w:bCs/>
          <w:sz w:val="20"/>
          <w:szCs w:val="20"/>
        </w:rPr>
        <w:t>Target type</w:t>
      </w:r>
      <w:r w:rsidRPr="008E7E1A">
        <w:rPr>
          <w:b/>
          <w:bCs/>
          <w:sz w:val="20"/>
          <w:szCs w:val="20"/>
        </w:rPr>
        <w:br/>
      </w:r>
      <w:r w:rsidRPr="008E7E1A">
        <w:rPr>
          <w:sz w:val="20"/>
          <w:szCs w:val="20"/>
        </w:rPr>
        <w:t xml:space="preserve"> Evidence: #5 (Fortune/Shanker) and #6 (Fortune/Kowitt) both document the campaign's direct corporate-engagement mechanism; #1 and #2 document the prior legislative strategy and its 2014 collapse, confirming the deliberate pivot to corporate targets.</w:t>
      </w:r>
      <w:r w:rsidRPr="008E7E1A">
        <w:rPr>
          <w:sz w:val="20"/>
          <w:szCs w:val="20"/>
        </w:rPr>
        <w:br/>
        <w:t xml:space="preserve"> Confidence: High — directly evidenced across multiple sources spanning both the framing context and the in-window execution.</w:t>
      </w:r>
      <w:r w:rsidRPr="008E7E1A">
        <w:rPr>
          <w:sz w:val="20"/>
          <w:szCs w:val="20"/>
        </w:rPr>
        <w:br/>
        <w:t xml:space="preserve"> Source Tag: #1, #2, #5, #6.</w:t>
      </w:r>
    </w:p>
    <w:p w14:paraId="1E5F55A0" w14:textId="77777777" w:rsidR="001179E1" w:rsidRPr="008E7E1A" w:rsidRDefault="001179E1" w:rsidP="00043AF9">
      <w:pPr>
        <w:numPr>
          <w:ilvl w:val="0"/>
          <w:numId w:val="15"/>
        </w:numPr>
        <w:rPr>
          <w:sz w:val="20"/>
          <w:szCs w:val="20"/>
        </w:rPr>
      </w:pPr>
      <w:r w:rsidRPr="008E7E1A">
        <w:rPr>
          <w:b/>
          <w:bCs/>
          <w:sz w:val="20"/>
          <w:szCs w:val="20"/>
        </w:rPr>
        <w:t>Concentration of decision-making power</w:t>
      </w:r>
      <w:r w:rsidRPr="008E7E1A">
        <w:rPr>
          <w:b/>
          <w:bCs/>
          <w:sz w:val="20"/>
          <w:szCs w:val="20"/>
        </w:rPr>
        <w:br/>
      </w:r>
      <w:r w:rsidRPr="008E7E1A">
        <w:rPr>
          <w:sz w:val="20"/>
          <w:szCs w:val="20"/>
        </w:rPr>
        <w:t xml:space="preserve"> Evidence: #6 documents McDonald's as "America's largest egg buyer" whose decision cascaded through the industry; #7 documents nearly 200 companies covering half of all monthly eggs laid, suggesting a concentrated buyer market where a few large decisions moved the whole.</w:t>
      </w:r>
      <w:r w:rsidRPr="008E7E1A">
        <w:rPr>
          <w:sz w:val="20"/>
          <w:szCs w:val="20"/>
        </w:rPr>
        <w:br/>
      </w:r>
      <w:r w:rsidRPr="008E7E1A">
        <w:rPr>
          <w:sz w:val="20"/>
          <w:szCs w:val="20"/>
        </w:rPr>
        <w:lastRenderedPageBreak/>
        <w:t xml:space="preserve"> Confidence: High — directly evidenced with specific market-share data.</w:t>
      </w:r>
      <w:r w:rsidRPr="008E7E1A">
        <w:rPr>
          <w:sz w:val="20"/>
          <w:szCs w:val="20"/>
        </w:rPr>
        <w:br/>
        <w:t xml:space="preserve"> Source Tag: #6, #7.</w:t>
      </w:r>
    </w:p>
    <w:p w14:paraId="4A64A561" w14:textId="77777777" w:rsidR="001179E1" w:rsidRPr="008E7E1A" w:rsidRDefault="001179E1" w:rsidP="00043AF9">
      <w:pPr>
        <w:numPr>
          <w:ilvl w:val="0"/>
          <w:numId w:val="15"/>
        </w:numPr>
        <w:rPr>
          <w:sz w:val="20"/>
          <w:szCs w:val="20"/>
        </w:rPr>
      </w:pPr>
      <w:r w:rsidRPr="008E7E1A">
        <w:rPr>
          <w:b/>
          <w:bCs/>
          <w:sz w:val="20"/>
          <w:szCs w:val="20"/>
        </w:rPr>
        <w:t>Strength of opposition</w:t>
      </w:r>
      <w:r w:rsidRPr="008E7E1A">
        <w:rPr>
          <w:b/>
          <w:bCs/>
          <w:sz w:val="20"/>
          <w:szCs w:val="20"/>
        </w:rPr>
        <w:br/>
      </w:r>
      <w:r w:rsidRPr="008E7E1A">
        <w:rPr>
          <w:sz w:val="20"/>
          <w:szCs w:val="20"/>
        </w:rPr>
        <w:t xml:space="preserve"> Evidence: #7 directly quotes UEP president Chad Gregory's counter-messaging and cites the 2015 industry-backed study; the same source records Gregory's concession that a cage-free future is "a fait accompli," indicating opposition that declined in strength during the window itself.</w:t>
      </w:r>
      <w:r w:rsidRPr="008E7E1A">
        <w:rPr>
          <w:sz w:val="20"/>
          <w:szCs w:val="20"/>
        </w:rPr>
        <w:br/>
        <w:t xml:space="preserve"> Confidence: High — both the opposition's initial resistance and its in-window capitulation are directly evidenced.</w:t>
      </w:r>
      <w:r w:rsidRPr="008E7E1A">
        <w:rPr>
          <w:sz w:val="20"/>
          <w:szCs w:val="20"/>
        </w:rPr>
        <w:br/>
        <w:t xml:space="preserve"> Source Tag: #7.</w:t>
      </w:r>
    </w:p>
    <w:p w14:paraId="1229544E" w14:textId="77777777" w:rsidR="001179E1" w:rsidRPr="008E7E1A" w:rsidRDefault="001179E1" w:rsidP="00043AF9">
      <w:pPr>
        <w:numPr>
          <w:ilvl w:val="0"/>
          <w:numId w:val="15"/>
        </w:numPr>
        <w:rPr>
          <w:sz w:val="20"/>
          <w:szCs w:val="20"/>
        </w:rPr>
      </w:pPr>
      <w:r w:rsidRPr="008E7E1A">
        <w:rPr>
          <w:b/>
          <w:bCs/>
          <w:sz w:val="20"/>
          <w:szCs w:val="20"/>
        </w:rPr>
        <w:t>Type of opposition</w:t>
      </w:r>
      <w:r w:rsidRPr="008E7E1A">
        <w:rPr>
          <w:b/>
          <w:bCs/>
          <w:sz w:val="20"/>
          <w:szCs w:val="20"/>
        </w:rPr>
        <w:br/>
      </w:r>
      <w:r w:rsidRPr="008E7E1A">
        <w:rPr>
          <w:sz w:val="20"/>
          <w:szCs w:val="20"/>
        </w:rPr>
        <w:t xml:space="preserve"> Evidence: #7 documents the 2015 industry-funded aviary study as counter-research; Gregory's "cage-free isn't better for hens" counter-messaging is directly quoted; no locked source documents legal challenges or political lobbying specifically targeting the corporate-campaign strand in-window.</w:t>
      </w:r>
      <w:r w:rsidRPr="008E7E1A">
        <w:rPr>
          <w:sz w:val="20"/>
          <w:szCs w:val="20"/>
        </w:rPr>
        <w:br/>
        <w:t xml:space="preserve"> Confidence: High — types of opposition directly and specifically evidenced.</w:t>
      </w:r>
      <w:r w:rsidRPr="008E7E1A">
        <w:rPr>
          <w:sz w:val="20"/>
          <w:szCs w:val="20"/>
        </w:rPr>
        <w:br/>
        <w:t xml:space="preserve"> Source Tag: #7.</w:t>
      </w:r>
    </w:p>
    <w:p w14:paraId="5693F48C" w14:textId="77777777" w:rsidR="001179E1" w:rsidRPr="008E7E1A" w:rsidRDefault="001179E1" w:rsidP="00043AF9">
      <w:pPr>
        <w:numPr>
          <w:ilvl w:val="0"/>
          <w:numId w:val="15"/>
        </w:numPr>
        <w:rPr>
          <w:sz w:val="20"/>
          <w:szCs w:val="20"/>
        </w:rPr>
      </w:pPr>
      <w:r w:rsidRPr="008E7E1A">
        <w:rPr>
          <w:b/>
          <w:bCs/>
          <w:sz w:val="20"/>
          <w:szCs w:val="20"/>
        </w:rPr>
        <w:t>Visibility of harm to the public</w:t>
      </w:r>
      <w:r w:rsidRPr="008E7E1A">
        <w:rPr>
          <w:b/>
          <w:bCs/>
          <w:sz w:val="20"/>
          <w:szCs w:val="20"/>
        </w:rPr>
        <w:br/>
      </w:r>
      <w:r w:rsidRPr="008E7E1A">
        <w:rPr>
          <w:sz w:val="20"/>
          <w:szCs w:val="20"/>
        </w:rPr>
        <w:t xml:space="preserve"> Evidence: #7 directly states "fifteen years ago, few Americans other than farmers seemed to be thinking much about hens"; HSUS undercover videos reaching half-a-million views are cited as a deliberate visibility-building mechanism; #5 documents the campaign's systematic public-messaging testing.</w:t>
      </w:r>
      <w:r w:rsidRPr="008E7E1A">
        <w:rPr>
          <w:sz w:val="20"/>
          <w:szCs w:val="20"/>
        </w:rPr>
        <w:br/>
        <w:t xml:space="preserve"> Confidence: High — both the low starting point and the deliberate visibility-building are directly evidenced in primary sources.</w:t>
      </w:r>
      <w:r w:rsidRPr="008E7E1A">
        <w:rPr>
          <w:sz w:val="20"/>
          <w:szCs w:val="20"/>
        </w:rPr>
        <w:br/>
        <w:t xml:space="preserve"> Source Tag: #7, #5.</w:t>
      </w:r>
    </w:p>
    <w:p w14:paraId="05199241" w14:textId="77777777" w:rsidR="001179E1" w:rsidRPr="008E7E1A" w:rsidRDefault="001179E1" w:rsidP="00043AF9">
      <w:pPr>
        <w:numPr>
          <w:ilvl w:val="0"/>
          <w:numId w:val="15"/>
        </w:numPr>
        <w:rPr>
          <w:sz w:val="20"/>
          <w:szCs w:val="20"/>
        </w:rPr>
      </w:pPr>
      <w:r w:rsidRPr="008E7E1A">
        <w:rPr>
          <w:b/>
          <w:bCs/>
          <w:sz w:val="20"/>
          <w:szCs w:val="20"/>
        </w:rPr>
        <w:t>Degree of behaviour change required</w:t>
      </w:r>
      <w:r w:rsidRPr="008E7E1A">
        <w:rPr>
          <w:b/>
          <w:bCs/>
          <w:sz w:val="20"/>
          <w:szCs w:val="20"/>
        </w:rPr>
        <w:br/>
      </w:r>
      <w:r w:rsidRPr="008E7E1A">
        <w:rPr>
          <w:sz w:val="20"/>
          <w:szCs w:val="20"/>
        </w:rPr>
        <w:t xml:space="preserve"> Evidence: #6 and #7 both document the corporate commitment as a 2025-deadline pledge (minimal immediate operational change); #7 documents egg producers' barn-conversion challenges as complex, multi-year, capital-intensive processes.</w:t>
      </w:r>
      <w:r w:rsidRPr="008E7E1A">
        <w:rPr>
          <w:sz w:val="20"/>
          <w:szCs w:val="20"/>
        </w:rPr>
        <w:br/>
        <w:t xml:space="preserve"> Confidence: High — the two-level distinction (easy for buyers, hard for producers) is directly evidenced.</w:t>
      </w:r>
      <w:r w:rsidRPr="008E7E1A">
        <w:rPr>
          <w:sz w:val="20"/>
          <w:szCs w:val="20"/>
        </w:rPr>
        <w:br/>
        <w:t xml:space="preserve"> Source Tag: #6, #7.</w:t>
      </w:r>
    </w:p>
    <w:p w14:paraId="410C7099" w14:textId="77777777" w:rsidR="001179E1" w:rsidRPr="008E7E1A" w:rsidRDefault="001179E1" w:rsidP="00043AF9">
      <w:pPr>
        <w:numPr>
          <w:ilvl w:val="0"/>
          <w:numId w:val="15"/>
        </w:numPr>
        <w:rPr>
          <w:sz w:val="20"/>
          <w:szCs w:val="20"/>
        </w:rPr>
      </w:pPr>
      <w:r w:rsidRPr="008E7E1A">
        <w:rPr>
          <w:b/>
          <w:bCs/>
          <w:sz w:val="20"/>
          <w:szCs w:val="20"/>
        </w:rPr>
        <w:t>Role of policy vs market vs cultural shift</w:t>
      </w:r>
      <w:r w:rsidRPr="008E7E1A">
        <w:rPr>
          <w:b/>
          <w:bCs/>
          <w:sz w:val="20"/>
          <w:szCs w:val="20"/>
        </w:rPr>
        <w:br/>
      </w:r>
      <w:r w:rsidRPr="008E7E1A">
        <w:rPr>
          <w:sz w:val="20"/>
          <w:szCs w:val="20"/>
        </w:rPr>
        <w:t xml:space="preserve"> Evidence: #3 (Bollard) and #5 (Fortune/Shanker) document direct corporate negotiation as the primary mechanism; #7 documents cultural/consumer-demand shift as a secondary driver; #2 (CRS report) documents Prop 2 as framing context rather than direct lever in this window.</w:t>
      </w:r>
      <w:r w:rsidRPr="008E7E1A">
        <w:rPr>
          <w:sz w:val="20"/>
          <w:szCs w:val="20"/>
        </w:rPr>
        <w:br/>
        <w:t xml:space="preserve"> Confidence: High — all three mechanisms and their relative weighting are directly evidenced.</w:t>
      </w:r>
      <w:r w:rsidRPr="008E7E1A">
        <w:rPr>
          <w:sz w:val="20"/>
          <w:szCs w:val="20"/>
        </w:rPr>
        <w:br/>
        <w:t xml:space="preserve"> Source Tag: #3, #5, #7, #2.</w:t>
      </w:r>
    </w:p>
    <w:p w14:paraId="15488523" w14:textId="77777777" w:rsidR="001179E1" w:rsidRPr="008E7E1A" w:rsidRDefault="001179E1" w:rsidP="00043AF9">
      <w:pPr>
        <w:numPr>
          <w:ilvl w:val="0"/>
          <w:numId w:val="15"/>
        </w:numPr>
        <w:rPr>
          <w:sz w:val="20"/>
          <w:szCs w:val="20"/>
        </w:rPr>
      </w:pPr>
      <w:r w:rsidRPr="008E7E1A">
        <w:rPr>
          <w:b/>
          <w:bCs/>
          <w:sz w:val="20"/>
          <w:szCs w:val="20"/>
        </w:rPr>
        <w:t>Coalition size/type/non-obvious allies</w:t>
      </w:r>
      <w:r w:rsidRPr="008E7E1A">
        <w:rPr>
          <w:b/>
          <w:bCs/>
          <w:sz w:val="20"/>
          <w:szCs w:val="20"/>
        </w:rPr>
        <w:br/>
      </w:r>
      <w:r w:rsidRPr="008E7E1A">
        <w:rPr>
          <w:sz w:val="20"/>
          <w:szCs w:val="20"/>
        </w:rPr>
        <w:t xml:space="preserve"> Evidence: #3 (Bollard) directly documents "single-issue focus" and "sector by sector" coordination among HSUS/THL/MFA/CIWF; #7 documents Open Philanthropy Project's $1M grant to THL explicitly as campaign funding; #4 (SEC filing) documents HSUS as a formal shareholder-engagement actor.</w:t>
      </w:r>
      <w:r w:rsidRPr="008E7E1A">
        <w:rPr>
          <w:sz w:val="20"/>
          <w:szCs w:val="20"/>
        </w:rPr>
        <w:br/>
        <w:t xml:space="preserve"> Confidence: Medium — coalition structure is well-evidenced via the 2017 retrospective (#3); the absence of a contemporaneous in-window coordination artifact limits this to Medium per the Phase 2 EXHAUSTED note.</w:t>
      </w:r>
      <w:r w:rsidRPr="008E7E1A">
        <w:rPr>
          <w:sz w:val="20"/>
          <w:szCs w:val="20"/>
        </w:rPr>
        <w:br/>
        <w:t xml:space="preserve"> Source Tag: #3, #7, #4.</w:t>
      </w:r>
    </w:p>
    <w:p w14:paraId="1A28443E" w14:textId="77777777" w:rsidR="001179E1" w:rsidRPr="008E7E1A" w:rsidRDefault="001179E1" w:rsidP="00043AF9">
      <w:pPr>
        <w:numPr>
          <w:ilvl w:val="0"/>
          <w:numId w:val="15"/>
        </w:numPr>
        <w:rPr>
          <w:sz w:val="20"/>
          <w:szCs w:val="20"/>
        </w:rPr>
      </w:pPr>
      <w:r w:rsidRPr="008E7E1A">
        <w:rPr>
          <w:b/>
          <w:bCs/>
          <w:sz w:val="20"/>
          <w:szCs w:val="20"/>
        </w:rPr>
        <w:t>Economic disruption required</w:t>
      </w:r>
      <w:r w:rsidRPr="008E7E1A">
        <w:rPr>
          <w:b/>
          <w:bCs/>
          <w:sz w:val="20"/>
          <w:szCs w:val="20"/>
        </w:rPr>
        <w:br/>
      </w:r>
      <w:r w:rsidRPr="008E7E1A">
        <w:rPr>
          <w:sz w:val="20"/>
          <w:szCs w:val="20"/>
        </w:rPr>
        <w:t xml:space="preserve"> Evidence: #7 directly documents both the industry's 36% higher production-cost figure and the activists' 12–15 cents/dozen counter-estimate, plus the barn-conversion logistics challenge.</w:t>
      </w:r>
      <w:r w:rsidRPr="008E7E1A">
        <w:rPr>
          <w:sz w:val="20"/>
          <w:szCs w:val="20"/>
        </w:rPr>
        <w:br/>
        <w:t xml:space="preserve"> Confidence: High — competing cost estimates and infrastructure disruption are directly evidenced from both sides.</w:t>
      </w:r>
      <w:r w:rsidRPr="008E7E1A">
        <w:rPr>
          <w:sz w:val="20"/>
          <w:szCs w:val="20"/>
        </w:rPr>
        <w:br/>
        <w:t xml:space="preserve"> Source Tag: #7.</w:t>
      </w:r>
    </w:p>
    <w:p w14:paraId="15CEBEAA" w14:textId="77777777" w:rsidR="001179E1" w:rsidRPr="008E7E1A" w:rsidRDefault="001179E1" w:rsidP="00043AF9">
      <w:pPr>
        <w:numPr>
          <w:ilvl w:val="0"/>
          <w:numId w:val="15"/>
        </w:numPr>
        <w:rPr>
          <w:sz w:val="20"/>
          <w:szCs w:val="20"/>
        </w:rPr>
      </w:pPr>
      <w:r w:rsidRPr="008E7E1A">
        <w:rPr>
          <w:b/>
          <w:bCs/>
          <w:sz w:val="20"/>
          <w:szCs w:val="20"/>
        </w:rPr>
        <w:t>Speed of change achieved</w:t>
      </w:r>
      <w:r w:rsidRPr="008E7E1A">
        <w:rPr>
          <w:b/>
          <w:bCs/>
          <w:sz w:val="20"/>
          <w:szCs w:val="20"/>
        </w:rPr>
        <w:br/>
      </w:r>
      <w:r w:rsidRPr="008E7E1A">
        <w:rPr>
          <w:sz w:val="20"/>
          <w:szCs w:val="20"/>
        </w:rPr>
        <w:t xml:space="preserve"> Evidence: #8 documents McDonald's cage-free pledge in September 2015; #5 documents Sodexo's February 2015 decision as the catalyst; #7 documents nearly 200 companies pledging within roughly two years of that catalyst.</w:t>
      </w:r>
      <w:r w:rsidRPr="008E7E1A">
        <w:rPr>
          <w:sz w:val="20"/>
          <w:szCs w:val="20"/>
        </w:rPr>
        <w:br/>
      </w:r>
      <w:r w:rsidRPr="008E7E1A">
        <w:rPr>
          <w:sz w:val="20"/>
          <w:szCs w:val="20"/>
        </w:rPr>
        <w:lastRenderedPageBreak/>
        <w:t xml:space="preserve"> Confidence: High — precisely dated cascade directly evidenced.</w:t>
      </w:r>
      <w:r w:rsidRPr="008E7E1A">
        <w:rPr>
          <w:sz w:val="20"/>
          <w:szCs w:val="20"/>
        </w:rPr>
        <w:br/>
        <w:t xml:space="preserve"> Source Tag: #5, #8, #7.</w:t>
      </w:r>
    </w:p>
    <w:p w14:paraId="377545D1" w14:textId="77777777" w:rsidR="001179E1" w:rsidRPr="008E7E1A" w:rsidRDefault="001179E1" w:rsidP="00043AF9">
      <w:pPr>
        <w:numPr>
          <w:ilvl w:val="0"/>
          <w:numId w:val="15"/>
        </w:numPr>
        <w:rPr>
          <w:sz w:val="20"/>
          <w:szCs w:val="20"/>
        </w:rPr>
      </w:pPr>
      <w:r w:rsidRPr="008E7E1A">
        <w:rPr>
          <w:b/>
          <w:bCs/>
          <w:sz w:val="20"/>
          <w:szCs w:val="20"/>
        </w:rPr>
        <w:t>Scale of change achieved</w:t>
      </w:r>
      <w:r w:rsidRPr="008E7E1A">
        <w:rPr>
          <w:b/>
          <w:bCs/>
          <w:sz w:val="20"/>
          <w:szCs w:val="20"/>
        </w:rPr>
        <w:br/>
      </w:r>
      <w:r w:rsidRPr="008E7E1A">
        <w:rPr>
          <w:sz w:val="20"/>
          <w:szCs w:val="20"/>
        </w:rPr>
        <w:t xml:space="preserve"> Evidence: #7 documents 200 companies covering half of 7 billion monthly eggs; #3 documents global extension (Sodexo's 80-country reach); #6 documents McDonald's as America's largest egg buyer specifically; implementation deadline of 2025 means physical transition incomplete at window's close per #7.</w:t>
      </w:r>
      <w:r w:rsidRPr="008E7E1A">
        <w:rPr>
          <w:sz w:val="20"/>
          <w:szCs w:val="20"/>
        </w:rPr>
        <w:br/>
        <w:t xml:space="preserve"> Confidence: High — both commitment breadth and implementation lag are directly evidenced.</w:t>
      </w:r>
      <w:r w:rsidRPr="008E7E1A">
        <w:rPr>
          <w:sz w:val="20"/>
          <w:szCs w:val="20"/>
        </w:rPr>
        <w:br/>
        <w:t xml:space="preserve"> Source Tag: #7, #3, #6.</w:t>
      </w:r>
    </w:p>
    <w:p w14:paraId="29043666" w14:textId="21075413" w:rsidR="001179E1" w:rsidRPr="008E7E1A" w:rsidRDefault="001179E1" w:rsidP="00043AF9">
      <w:pPr>
        <w:numPr>
          <w:ilvl w:val="0"/>
          <w:numId w:val="15"/>
        </w:numPr>
        <w:rPr>
          <w:sz w:val="20"/>
          <w:szCs w:val="20"/>
        </w:rPr>
      </w:pPr>
      <w:r w:rsidRPr="008E7E1A">
        <w:rPr>
          <w:b/>
          <w:bCs/>
          <w:sz w:val="20"/>
          <w:szCs w:val="20"/>
        </w:rPr>
        <w:t>Public sentiment starting point</w:t>
      </w:r>
      <w:r w:rsidRPr="008E7E1A">
        <w:rPr>
          <w:b/>
          <w:bCs/>
          <w:sz w:val="20"/>
          <w:szCs w:val="20"/>
        </w:rPr>
        <w:br/>
      </w:r>
      <w:r w:rsidR="006D1DA3" w:rsidRPr="008E7E1A">
        <w:rPr>
          <w:sz w:val="20"/>
          <w:szCs w:val="20"/>
        </w:rPr>
        <w:t>Evidence: Heng et al. 2013 (</w:t>
      </w:r>
      <w:r w:rsidR="006D1DA3" w:rsidRPr="008E7E1A">
        <w:rPr>
          <w:i/>
          <w:iCs/>
          <w:sz w:val="20"/>
          <w:szCs w:val="20"/>
        </w:rPr>
        <w:t>Journal of Agricultural and Resource Economics</w:t>
      </w:r>
      <w:r w:rsidR="006D1DA3" w:rsidRPr="008E7E1A">
        <w:rPr>
          <w:sz w:val="20"/>
          <w:szCs w:val="20"/>
        </w:rPr>
        <w:t>, Vol. 38, No. 3) — a nationally representative US survey conducted pre-campaign — found most respondents perceived caged housing as reducing hen welfare and expressed willingness to pay a premium for cage-free eggs. Public concern was latent but not yet activated into organised demand prior to the 2015 corporate campaign escalation.</w:t>
      </w:r>
      <w:r w:rsidR="006D1DA3" w:rsidRPr="008E7E1A">
        <w:rPr>
          <w:sz w:val="20"/>
          <w:szCs w:val="20"/>
        </w:rPr>
        <w:br/>
        <w:t>Confidence: Medium — peer-reviewed, nationally representative, but single study; no independent pre-2015 polling specifically corroborates it.</w:t>
      </w:r>
      <w:r w:rsidR="006D1DA3" w:rsidRPr="008E7E1A">
        <w:rPr>
          <w:sz w:val="20"/>
          <w:szCs w:val="20"/>
        </w:rPr>
        <w:br/>
        <w:t>Source Tag: Heng et al. 2013</w:t>
      </w:r>
    </w:p>
    <w:p w14:paraId="21A7A7DF" w14:textId="77777777" w:rsidR="001179E1" w:rsidRPr="008E7E1A" w:rsidRDefault="001179E1" w:rsidP="00043AF9">
      <w:pPr>
        <w:numPr>
          <w:ilvl w:val="0"/>
          <w:numId w:val="15"/>
        </w:numPr>
        <w:rPr>
          <w:sz w:val="20"/>
          <w:szCs w:val="20"/>
        </w:rPr>
      </w:pPr>
      <w:r w:rsidRPr="008E7E1A">
        <w:rPr>
          <w:b/>
          <w:bCs/>
          <w:sz w:val="20"/>
          <w:szCs w:val="20"/>
        </w:rPr>
        <w:t>Legal/regulatory landscape</w:t>
      </w:r>
      <w:r w:rsidRPr="008E7E1A">
        <w:rPr>
          <w:b/>
          <w:bCs/>
          <w:sz w:val="20"/>
          <w:szCs w:val="20"/>
        </w:rPr>
        <w:br/>
      </w:r>
      <w:r w:rsidRPr="008E7E1A">
        <w:rPr>
          <w:sz w:val="20"/>
          <w:szCs w:val="20"/>
        </w:rPr>
        <w:t xml:space="preserve"> Evidence: #2 (CRS report) documents the 2011 UEP-HSUS federal deal and its 2014 collapse as the direct precursor to the corporate strategy; #7 references Prop 2 (2008) as watershed precedent; no locked source documents any legal mechanism blocking the corporate campaign itself in-window.</w:t>
      </w:r>
      <w:r w:rsidRPr="008E7E1A">
        <w:rPr>
          <w:sz w:val="20"/>
          <w:szCs w:val="20"/>
        </w:rPr>
        <w:br/>
        <w:t xml:space="preserve"> Confidence: High — the relevant legal landscape (prior legislative attempt, its failure, subsequent corporate pivot) is directly and specifically documented.</w:t>
      </w:r>
      <w:r w:rsidRPr="008E7E1A">
        <w:rPr>
          <w:sz w:val="20"/>
          <w:szCs w:val="20"/>
        </w:rPr>
        <w:br/>
        <w:t xml:space="preserve"> Source Tag: #2, #7.</w:t>
      </w:r>
    </w:p>
    <w:p w14:paraId="37DFCE0F" w14:textId="77777777" w:rsidR="001179E1" w:rsidRPr="008E7E1A" w:rsidRDefault="001179E1" w:rsidP="00043AF9">
      <w:pPr>
        <w:numPr>
          <w:ilvl w:val="0"/>
          <w:numId w:val="15"/>
        </w:numPr>
        <w:rPr>
          <w:sz w:val="20"/>
          <w:szCs w:val="20"/>
        </w:rPr>
      </w:pPr>
      <w:r w:rsidRPr="008E7E1A">
        <w:rPr>
          <w:b/>
          <w:bCs/>
          <w:sz w:val="20"/>
          <w:szCs w:val="20"/>
        </w:rPr>
        <w:t>Narrative dominance</w:t>
      </w:r>
      <w:r w:rsidRPr="008E7E1A">
        <w:rPr>
          <w:b/>
          <w:bCs/>
          <w:sz w:val="20"/>
          <w:szCs w:val="20"/>
        </w:rPr>
        <w:br/>
      </w:r>
      <w:r w:rsidRPr="008E7E1A">
        <w:rPr>
          <w:sz w:val="20"/>
          <w:szCs w:val="20"/>
        </w:rPr>
        <w:t xml:space="preserve"> Evidence: #7 documents UEP's counter-narrative ("cage-free isn't better for hens," "activists want to take away consumer choices") as the opposition framing; the same source documents the campaign's framing achieving mainstream media legitimacy by 2016 ("firmly cemented in the mainstream," per Shapiro); WaPo's own framing of cage-free as "one of the animal advocacy movement's biggest victories in decades" indicates the campaign's narrative was dominant in general-media representation by window's close.</w:t>
      </w:r>
      <w:r w:rsidRPr="008E7E1A">
        <w:rPr>
          <w:sz w:val="20"/>
          <w:szCs w:val="20"/>
        </w:rPr>
        <w:br/>
        <w:t xml:space="preserve"> Confidence: High — both the initial counter-narrative and the shift in narrative dominance by window's close are directly and explicitly evidenced in the same primary source.</w:t>
      </w:r>
      <w:r w:rsidRPr="008E7E1A">
        <w:rPr>
          <w:sz w:val="20"/>
          <w:szCs w:val="20"/>
        </w:rPr>
        <w:br/>
        <w:t xml:space="preserve"> Source Tag: #7.</w:t>
      </w:r>
    </w:p>
    <w:p w14:paraId="1FF0EA32" w14:textId="77777777" w:rsidR="001179E1" w:rsidRPr="008E7E1A" w:rsidRDefault="001179E1" w:rsidP="00043AF9">
      <w:pPr>
        <w:numPr>
          <w:ilvl w:val="0"/>
          <w:numId w:val="15"/>
        </w:numPr>
        <w:rPr>
          <w:sz w:val="20"/>
          <w:szCs w:val="20"/>
        </w:rPr>
      </w:pPr>
      <w:r w:rsidRPr="008E7E1A">
        <w:rPr>
          <w:b/>
          <w:bCs/>
          <w:sz w:val="20"/>
          <w:szCs w:val="20"/>
        </w:rPr>
        <w:t>Notable Tactics</w:t>
      </w:r>
      <w:r w:rsidRPr="008E7E1A">
        <w:rPr>
          <w:b/>
          <w:bCs/>
          <w:sz w:val="20"/>
          <w:szCs w:val="20"/>
        </w:rPr>
        <w:br/>
      </w:r>
      <w:r w:rsidRPr="008E7E1A">
        <w:rPr>
          <w:sz w:val="20"/>
          <w:szCs w:val="20"/>
        </w:rPr>
        <w:t xml:space="preserve"> a. Sector-by-sector sequencing.</w:t>
      </w:r>
      <w:r w:rsidRPr="008E7E1A">
        <w:rPr>
          <w:sz w:val="20"/>
          <w:szCs w:val="20"/>
        </w:rPr>
        <w:br/>
        <w:t xml:space="preserve"> Evidence: #3 directly documents "sector by sector" targeting as an explicit strategic choice; #5 documents the food-service-first sequencing (Sodexo) preceding grocery and fast-food cascades.</w:t>
      </w:r>
      <w:r w:rsidRPr="008E7E1A">
        <w:rPr>
          <w:sz w:val="20"/>
          <w:szCs w:val="20"/>
        </w:rPr>
        <w:br/>
        <w:t xml:space="preserve"> Confidence: High. Source Tag: #3, #5.</w:t>
      </w:r>
      <w:r w:rsidRPr="008E7E1A">
        <w:rPr>
          <w:sz w:val="20"/>
          <w:szCs w:val="20"/>
        </w:rPr>
        <w:br/>
        <w:t xml:space="preserve"> b. Single-company sustained pressure with escalating tools.</w:t>
      </w:r>
      <w:r w:rsidRPr="008E7E1A">
        <w:rPr>
          <w:sz w:val="20"/>
          <w:szCs w:val="20"/>
        </w:rPr>
        <w:br/>
        <w:t xml:space="preserve"> Evidence: #7 documents THL's sustained company-by-company campaigns using protests, shaming websites, and investor/client outreach; #5 documents the negotiation mechanics per company.</w:t>
      </w:r>
      <w:r w:rsidRPr="008E7E1A">
        <w:rPr>
          <w:sz w:val="20"/>
          <w:szCs w:val="20"/>
        </w:rPr>
        <w:br/>
        <w:t xml:space="preserve"> Confidence: High. Source Tag: #7, #5.</w:t>
      </w:r>
      <w:r w:rsidRPr="008E7E1A">
        <w:rPr>
          <w:sz w:val="20"/>
          <w:szCs w:val="20"/>
        </w:rPr>
        <w:br/>
        <w:t xml:space="preserve"> c. Investor/shareholder engagement via formal SEC mechanism.</w:t>
      </w:r>
      <w:r w:rsidRPr="008E7E1A">
        <w:rPr>
          <w:sz w:val="20"/>
          <w:szCs w:val="20"/>
        </w:rPr>
        <w:br/>
        <w:t xml:space="preserve"> Evidence: #4 is itself the primary artifact — an SEC-registered exempt solicitation filed by HSUS targeting Kraft shareholders.</w:t>
      </w:r>
      <w:r w:rsidRPr="008E7E1A">
        <w:rPr>
          <w:sz w:val="20"/>
          <w:szCs w:val="20"/>
        </w:rPr>
        <w:br/>
        <w:t xml:space="preserve"> Confidence: High. Source Tag: #4.</w:t>
      </w:r>
      <w:r w:rsidRPr="008E7E1A">
        <w:rPr>
          <w:sz w:val="20"/>
          <w:szCs w:val="20"/>
        </w:rPr>
        <w:br/>
        <w:t xml:space="preserve"> d. Database-driven corporate targeting.</w:t>
      </w:r>
      <w:r w:rsidRPr="008E7E1A">
        <w:rPr>
          <w:sz w:val="20"/>
          <w:szCs w:val="20"/>
        </w:rPr>
        <w:br/>
        <w:t xml:space="preserve"> Evidence: #7 directly quotes THL's Aaron Ross: "We're very much obsessed with metrics," with explicit reference to databases on egg-buying companies and systematic testing of public messaging palatability.</w:t>
      </w:r>
      <w:r w:rsidRPr="008E7E1A">
        <w:rPr>
          <w:sz w:val="20"/>
          <w:szCs w:val="20"/>
        </w:rPr>
        <w:br/>
        <w:t xml:space="preserve"> Confidence: High. Source Tag: #7.</w:t>
      </w:r>
      <w:r w:rsidRPr="008E7E1A">
        <w:rPr>
          <w:sz w:val="20"/>
          <w:szCs w:val="20"/>
        </w:rPr>
        <w:br/>
        <w:t xml:space="preserve"> e. Coordinated funder-activist resource concentration.</w:t>
      </w:r>
      <w:r w:rsidRPr="008E7E1A">
        <w:rPr>
          <w:sz w:val="20"/>
          <w:szCs w:val="20"/>
        </w:rPr>
        <w:br/>
        <w:t xml:space="preserve"> Evidence: #7 documents Open Philanthropy's $2.5M across three orgs explicitly to fund the cage-free campaign </w:t>
      </w:r>
      <w:r w:rsidRPr="008E7E1A">
        <w:rPr>
          <w:sz w:val="20"/>
          <w:szCs w:val="20"/>
        </w:rPr>
        <w:lastRenderedPageBreak/>
        <w:t>at a decisive moment; Bollard's own note that the grants may have been "superfluous" given the speed of progress is direct evidence that funder-campaign coordination preceded and may have accelerated the cascade.</w:t>
      </w:r>
      <w:r w:rsidRPr="008E7E1A">
        <w:rPr>
          <w:sz w:val="20"/>
          <w:szCs w:val="20"/>
        </w:rPr>
        <w:br/>
        <w:t xml:space="preserve"> Confidence: High. Source Tag: #7, #3.</w:t>
      </w:r>
    </w:p>
    <w:p w14:paraId="78554458" w14:textId="77777777" w:rsidR="001179E1" w:rsidRPr="008E7E1A" w:rsidRDefault="00641196" w:rsidP="001179E1">
      <w:pPr>
        <w:rPr>
          <w:sz w:val="20"/>
          <w:szCs w:val="20"/>
        </w:rPr>
      </w:pPr>
      <w:r>
        <w:rPr>
          <w:sz w:val="20"/>
          <w:szCs w:val="20"/>
        </w:rPr>
        <w:pict w14:anchorId="75CCEC2E">
          <v:rect id="_x0000_i1025" style="width:0;height:1.5pt" o:hralign="center" o:hrstd="t" o:hr="t" fillcolor="#a0a0a0" stroked="f"/>
        </w:pict>
      </w:r>
    </w:p>
    <w:p w14:paraId="7A2BEF68" w14:textId="77777777" w:rsidR="001179E1" w:rsidRPr="008E7E1A" w:rsidRDefault="001179E1" w:rsidP="001179E1">
      <w:pPr>
        <w:rPr>
          <w:b/>
          <w:bCs/>
          <w:sz w:val="20"/>
          <w:szCs w:val="20"/>
        </w:rPr>
      </w:pPr>
      <w:r w:rsidRPr="008E7E1A">
        <w:rPr>
          <w:b/>
          <w:bCs/>
          <w:sz w:val="20"/>
          <w:szCs w:val="20"/>
        </w:rPr>
        <w:t>SOURCE-TO-VARIABLE MAPPING</w:t>
      </w:r>
    </w:p>
    <w:tbl>
      <w:tblPr>
        <w:tblW w:w="0" w:type="auto"/>
        <w:tblCellMar>
          <w:top w:w="15" w:type="dxa"/>
          <w:left w:w="15" w:type="dxa"/>
          <w:bottom w:w="15" w:type="dxa"/>
          <w:right w:w="15" w:type="dxa"/>
        </w:tblCellMar>
        <w:tblLook w:val="04A0" w:firstRow="1" w:lastRow="0" w:firstColumn="1" w:lastColumn="0" w:noHBand="0" w:noVBand="1"/>
      </w:tblPr>
      <w:tblGrid>
        <w:gridCol w:w="3682"/>
        <w:gridCol w:w="4350"/>
      </w:tblGrid>
      <w:tr w:rsidR="001179E1" w:rsidRPr="008E7E1A" w14:paraId="008F58A4" w14:textId="77777777">
        <w:trPr>
          <w:trHeight w:val="515"/>
        </w:trPr>
        <w:tc>
          <w:tcPr>
            <w:tcW w:w="0" w:type="auto"/>
            <w:tcMar>
              <w:top w:w="100" w:type="dxa"/>
              <w:left w:w="100" w:type="dxa"/>
              <w:bottom w:w="100" w:type="dxa"/>
              <w:right w:w="100" w:type="dxa"/>
            </w:tcMar>
            <w:hideMark/>
          </w:tcPr>
          <w:p w14:paraId="028C6A56" w14:textId="77777777" w:rsidR="001179E1" w:rsidRPr="008E7E1A" w:rsidRDefault="001179E1" w:rsidP="001179E1">
            <w:pPr>
              <w:rPr>
                <w:sz w:val="20"/>
                <w:szCs w:val="20"/>
              </w:rPr>
            </w:pPr>
            <w:r w:rsidRPr="008E7E1A">
              <w:rPr>
                <w:b/>
                <w:bCs/>
                <w:sz w:val="20"/>
                <w:szCs w:val="20"/>
              </w:rPr>
              <w:t>Source</w:t>
            </w:r>
          </w:p>
        </w:tc>
        <w:tc>
          <w:tcPr>
            <w:tcW w:w="0" w:type="auto"/>
            <w:tcMar>
              <w:top w:w="100" w:type="dxa"/>
              <w:left w:w="100" w:type="dxa"/>
              <w:bottom w:w="100" w:type="dxa"/>
              <w:right w:w="100" w:type="dxa"/>
            </w:tcMar>
            <w:hideMark/>
          </w:tcPr>
          <w:p w14:paraId="5FD81AF7" w14:textId="77777777" w:rsidR="001179E1" w:rsidRPr="008E7E1A" w:rsidRDefault="001179E1" w:rsidP="001179E1">
            <w:pPr>
              <w:rPr>
                <w:sz w:val="20"/>
                <w:szCs w:val="20"/>
              </w:rPr>
            </w:pPr>
            <w:r w:rsidRPr="008E7E1A">
              <w:rPr>
                <w:b/>
                <w:bCs/>
                <w:sz w:val="20"/>
                <w:szCs w:val="20"/>
              </w:rPr>
              <w:t>Variables</w:t>
            </w:r>
          </w:p>
        </w:tc>
      </w:tr>
      <w:tr w:rsidR="001179E1" w:rsidRPr="008E7E1A" w14:paraId="09FCC9ED" w14:textId="77777777">
        <w:trPr>
          <w:trHeight w:val="515"/>
        </w:trPr>
        <w:tc>
          <w:tcPr>
            <w:tcW w:w="0" w:type="auto"/>
            <w:tcMar>
              <w:top w:w="100" w:type="dxa"/>
              <w:left w:w="100" w:type="dxa"/>
              <w:bottom w:w="100" w:type="dxa"/>
              <w:right w:w="100" w:type="dxa"/>
            </w:tcMar>
            <w:hideMark/>
          </w:tcPr>
          <w:p w14:paraId="16484D11" w14:textId="77777777" w:rsidR="001179E1" w:rsidRPr="008E7E1A" w:rsidRDefault="001179E1" w:rsidP="001179E1">
            <w:pPr>
              <w:rPr>
                <w:sz w:val="20"/>
                <w:szCs w:val="20"/>
              </w:rPr>
            </w:pPr>
            <w:r w:rsidRPr="008E7E1A">
              <w:rPr>
                <w:sz w:val="20"/>
                <w:szCs w:val="20"/>
              </w:rPr>
              <w:t>#1 Poultry Site, "Joint Proposal," 2011</w:t>
            </w:r>
          </w:p>
        </w:tc>
        <w:tc>
          <w:tcPr>
            <w:tcW w:w="0" w:type="auto"/>
            <w:tcMar>
              <w:top w:w="100" w:type="dxa"/>
              <w:left w:w="100" w:type="dxa"/>
              <w:bottom w:w="100" w:type="dxa"/>
              <w:right w:w="100" w:type="dxa"/>
            </w:tcMar>
            <w:hideMark/>
          </w:tcPr>
          <w:p w14:paraId="6EC15593" w14:textId="77777777" w:rsidR="001179E1" w:rsidRPr="008E7E1A" w:rsidRDefault="001179E1" w:rsidP="001179E1">
            <w:pPr>
              <w:rPr>
                <w:sz w:val="20"/>
                <w:szCs w:val="20"/>
              </w:rPr>
            </w:pPr>
            <w:r w:rsidRPr="008E7E1A">
              <w:rPr>
                <w:sz w:val="20"/>
                <w:szCs w:val="20"/>
              </w:rPr>
              <w:t>1, 13</w:t>
            </w:r>
          </w:p>
        </w:tc>
      </w:tr>
      <w:tr w:rsidR="001179E1" w:rsidRPr="008E7E1A" w14:paraId="4A28C88A" w14:textId="77777777">
        <w:trPr>
          <w:trHeight w:val="515"/>
        </w:trPr>
        <w:tc>
          <w:tcPr>
            <w:tcW w:w="0" w:type="auto"/>
            <w:tcMar>
              <w:top w:w="100" w:type="dxa"/>
              <w:left w:w="100" w:type="dxa"/>
              <w:bottom w:w="100" w:type="dxa"/>
              <w:right w:w="100" w:type="dxa"/>
            </w:tcMar>
            <w:hideMark/>
          </w:tcPr>
          <w:p w14:paraId="41DB38FA" w14:textId="77777777" w:rsidR="001179E1" w:rsidRPr="008E7E1A" w:rsidRDefault="001179E1" w:rsidP="001179E1">
            <w:pPr>
              <w:rPr>
                <w:sz w:val="20"/>
                <w:szCs w:val="20"/>
              </w:rPr>
            </w:pPr>
            <w:r w:rsidRPr="008E7E1A">
              <w:rPr>
                <w:sz w:val="20"/>
                <w:szCs w:val="20"/>
              </w:rPr>
              <w:t>#2 CRS Report R42534, Feb 2014</w:t>
            </w:r>
          </w:p>
        </w:tc>
        <w:tc>
          <w:tcPr>
            <w:tcW w:w="0" w:type="auto"/>
            <w:tcMar>
              <w:top w:w="100" w:type="dxa"/>
              <w:left w:w="100" w:type="dxa"/>
              <w:bottom w:w="100" w:type="dxa"/>
              <w:right w:w="100" w:type="dxa"/>
            </w:tcMar>
            <w:hideMark/>
          </w:tcPr>
          <w:p w14:paraId="1225AB49" w14:textId="77777777" w:rsidR="001179E1" w:rsidRPr="008E7E1A" w:rsidRDefault="001179E1" w:rsidP="001179E1">
            <w:pPr>
              <w:rPr>
                <w:sz w:val="20"/>
                <w:szCs w:val="20"/>
              </w:rPr>
            </w:pPr>
            <w:r w:rsidRPr="008E7E1A">
              <w:rPr>
                <w:sz w:val="20"/>
                <w:szCs w:val="20"/>
              </w:rPr>
              <w:t>1, 7, 13</w:t>
            </w:r>
          </w:p>
        </w:tc>
      </w:tr>
      <w:tr w:rsidR="001179E1" w:rsidRPr="008E7E1A" w14:paraId="418C7196" w14:textId="77777777">
        <w:trPr>
          <w:trHeight w:val="515"/>
        </w:trPr>
        <w:tc>
          <w:tcPr>
            <w:tcW w:w="0" w:type="auto"/>
            <w:tcMar>
              <w:top w:w="100" w:type="dxa"/>
              <w:left w:w="100" w:type="dxa"/>
              <w:bottom w:w="100" w:type="dxa"/>
              <w:right w:w="100" w:type="dxa"/>
            </w:tcMar>
            <w:hideMark/>
          </w:tcPr>
          <w:p w14:paraId="19A238BE" w14:textId="77777777" w:rsidR="001179E1" w:rsidRPr="008E7E1A" w:rsidRDefault="001179E1" w:rsidP="001179E1">
            <w:pPr>
              <w:rPr>
                <w:sz w:val="20"/>
                <w:szCs w:val="20"/>
              </w:rPr>
            </w:pPr>
            <w:r w:rsidRPr="008E7E1A">
              <w:rPr>
                <w:sz w:val="20"/>
                <w:szCs w:val="20"/>
              </w:rPr>
              <w:t>#3 Bollard, Coefficient Giving, April 2017</w:t>
            </w:r>
          </w:p>
        </w:tc>
        <w:tc>
          <w:tcPr>
            <w:tcW w:w="0" w:type="auto"/>
            <w:tcMar>
              <w:top w:w="100" w:type="dxa"/>
              <w:left w:w="100" w:type="dxa"/>
              <w:bottom w:w="100" w:type="dxa"/>
              <w:right w:w="100" w:type="dxa"/>
            </w:tcMar>
            <w:hideMark/>
          </w:tcPr>
          <w:p w14:paraId="7F6785FF" w14:textId="77777777" w:rsidR="001179E1" w:rsidRPr="008E7E1A" w:rsidRDefault="001179E1" w:rsidP="001179E1">
            <w:pPr>
              <w:rPr>
                <w:sz w:val="20"/>
                <w:szCs w:val="20"/>
              </w:rPr>
            </w:pPr>
            <w:r w:rsidRPr="008E7E1A">
              <w:rPr>
                <w:sz w:val="20"/>
                <w:szCs w:val="20"/>
              </w:rPr>
              <w:t>7, 8, 11, 15a, 15e</w:t>
            </w:r>
          </w:p>
        </w:tc>
      </w:tr>
      <w:tr w:rsidR="001179E1" w:rsidRPr="008E7E1A" w14:paraId="7B44A25B" w14:textId="77777777">
        <w:trPr>
          <w:trHeight w:val="800"/>
        </w:trPr>
        <w:tc>
          <w:tcPr>
            <w:tcW w:w="0" w:type="auto"/>
            <w:tcMar>
              <w:top w:w="100" w:type="dxa"/>
              <w:left w:w="100" w:type="dxa"/>
              <w:bottom w:w="100" w:type="dxa"/>
              <w:right w:w="100" w:type="dxa"/>
            </w:tcMar>
            <w:hideMark/>
          </w:tcPr>
          <w:p w14:paraId="43EE5B56" w14:textId="77777777" w:rsidR="001179E1" w:rsidRPr="008E7E1A" w:rsidRDefault="001179E1" w:rsidP="001179E1">
            <w:pPr>
              <w:rPr>
                <w:sz w:val="20"/>
                <w:szCs w:val="20"/>
              </w:rPr>
            </w:pPr>
            <w:r w:rsidRPr="008E7E1A">
              <w:rPr>
                <w:sz w:val="20"/>
                <w:szCs w:val="20"/>
              </w:rPr>
              <w:t>#4 SEC PX14A6G, HSUS/Kraft, April 2015</w:t>
            </w:r>
          </w:p>
        </w:tc>
        <w:tc>
          <w:tcPr>
            <w:tcW w:w="0" w:type="auto"/>
            <w:tcMar>
              <w:top w:w="100" w:type="dxa"/>
              <w:left w:w="100" w:type="dxa"/>
              <w:bottom w:w="100" w:type="dxa"/>
              <w:right w:w="100" w:type="dxa"/>
            </w:tcMar>
            <w:hideMark/>
          </w:tcPr>
          <w:p w14:paraId="2A32D5E6" w14:textId="77777777" w:rsidR="001179E1" w:rsidRPr="008E7E1A" w:rsidRDefault="001179E1" w:rsidP="001179E1">
            <w:pPr>
              <w:rPr>
                <w:sz w:val="20"/>
                <w:szCs w:val="20"/>
              </w:rPr>
            </w:pPr>
            <w:r w:rsidRPr="008E7E1A">
              <w:rPr>
                <w:sz w:val="20"/>
                <w:szCs w:val="20"/>
              </w:rPr>
              <w:t>8, 15c</w:t>
            </w:r>
          </w:p>
        </w:tc>
      </w:tr>
      <w:tr w:rsidR="001179E1" w:rsidRPr="008E7E1A" w14:paraId="6D57942E" w14:textId="77777777">
        <w:trPr>
          <w:trHeight w:val="515"/>
        </w:trPr>
        <w:tc>
          <w:tcPr>
            <w:tcW w:w="0" w:type="auto"/>
            <w:tcMar>
              <w:top w:w="100" w:type="dxa"/>
              <w:left w:w="100" w:type="dxa"/>
              <w:bottom w:w="100" w:type="dxa"/>
              <w:right w:w="100" w:type="dxa"/>
            </w:tcMar>
            <w:hideMark/>
          </w:tcPr>
          <w:p w14:paraId="13157A0B" w14:textId="77777777" w:rsidR="001179E1" w:rsidRPr="008E7E1A" w:rsidRDefault="001179E1" w:rsidP="001179E1">
            <w:pPr>
              <w:rPr>
                <w:sz w:val="20"/>
                <w:szCs w:val="20"/>
              </w:rPr>
            </w:pPr>
            <w:r w:rsidRPr="008E7E1A">
              <w:rPr>
                <w:sz w:val="20"/>
                <w:szCs w:val="20"/>
              </w:rPr>
              <w:t>#5 Fortune/Shanker, April 2015</w:t>
            </w:r>
          </w:p>
        </w:tc>
        <w:tc>
          <w:tcPr>
            <w:tcW w:w="0" w:type="auto"/>
            <w:tcMar>
              <w:top w:w="100" w:type="dxa"/>
              <w:left w:w="100" w:type="dxa"/>
              <w:bottom w:w="100" w:type="dxa"/>
              <w:right w:w="100" w:type="dxa"/>
            </w:tcMar>
            <w:hideMark/>
          </w:tcPr>
          <w:p w14:paraId="39F7AA93" w14:textId="77777777" w:rsidR="001179E1" w:rsidRPr="008E7E1A" w:rsidRDefault="001179E1" w:rsidP="001179E1">
            <w:pPr>
              <w:rPr>
                <w:sz w:val="20"/>
                <w:szCs w:val="20"/>
              </w:rPr>
            </w:pPr>
            <w:r w:rsidRPr="008E7E1A">
              <w:rPr>
                <w:sz w:val="20"/>
                <w:szCs w:val="20"/>
              </w:rPr>
              <w:t>1, 7, 10, 15a, 15b</w:t>
            </w:r>
          </w:p>
        </w:tc>
      </w:tr>
      <w:tr w:rsidR="001179E1" w:rsidRPr="008E7E1A" w14:paraId="4D9DC2ED" w14:textId="77777777">
        <w:trPr>
          <w:trHeight w:val="515"/>
        </w:trPr>
        <w:tc>
          <w:tcPr>
            <w:tcW w:w="0" w:type="auto"/>
            <w:tcMar>
              <w:top w:w="100" w:type="dxa"/>
              <w:left w:w="100" w:type="dxa"/>
              <w:bottom w:w="100" w:type="dxa"/>
              <w:right w:w="100" w:type="dxa"/>
            </w:tcMar>
            <w:hideMark/>
          </w:tcPr>
          <w:p w14:paraId="53DC8D30" w14:textId="77777777" w:rsidR="001179E1" w:rsidRPr="008E7E1A" w:rsidRDefault="001179E1" w:rsidP="001179E1">
            <w:pPr>
              <w:rPr>
                <w:sz w:val="20"/>
                <w:szCs w:val="20"/>
              </w:rPr>
            </w:pPr>
            <w:r w:rsidRPr="008E7E1A">
              <w:rPr>
                <w:sz w:val="20"/>
                <w:szCs w:val="20"/>
              </w:rPr>
              <w:t>#6 Fortune/Kowitt, August 2016</w:t>
            </w:r>
          </w:p>
        </w:tc>
        <w:tc>
          <w:tcPr>
            <w:tcW w:w="0" w:type="auto"/>
            <w:tcMar>
              <w:top w:w="100" w:type="dxa"/>
              <w:left w:w="100" w:type="dxa"/>
              <w:bottom w:w="100" w:type="dxa"/>
              <w:right w:w="100" w:type="dxa"/>
            </w:tcMar>
            <w:hideMark/>
          </w:tcPr>
          <w:p w14:paraId="4F215A9B" w14:textId="77777777" w:rsidR="001179E1" w:rsidRPr="008E7E1A" w:rsidRDefault="001179E1" w:rsidP="001179E1">
            <w:pPr>
              <w:rPr>
                <w:sz w:val="20"/>
                <w:szCs w:val="20"/>
              </w:rPr>
            </w:pPr>
            <w:r w:rsidRPr="008E7E1A">
              <w:rPr>
                <w:sz w:val="20"/>
                <w:szCs w:val="20"/>
              </w:rPr>
              <w:t>1, 2, 6, 11</w:t>
            </w:r>
          </w:p>
        </w:tc>
      </w:tr>
      <w:tr w:rsidR="001179E1" w:rsidRPr="008E7E1A" w14:paraId="289051A0" w14:textId="77777777">
        <w:trPr>
          <w:trHeight w:val="800"/>
        </w:trPr>
        <w:tc>
          <w:tcPr>
            <w:tcW w:w="0" w:type="auto"/>
            <w:tcMar>
              <w:top w:w="100" w:type="dxa"/>
              <w:left w:w="100" w:type="dxa"/>
              <w:bottom w:w="100" w:type="dxa"/>
              <w:right w:w="100" w:type="dxa"/>
            </w:tcMar>
            <w:hideMark/>
          </w:tcPr>
          <w:p w14:paraId="384BD70A" w14:textId="77777777" w:rsidR="001179E1" w:rsidRPr="008E7E1A" w:rsidRDefault="001179E1" w:rsidP="001179E1">
            <w:pPr>
              <w:rPr>
                <w:sz w:val="20"/>
                <w:szCs w:val="20"/>
              </w:rPr>
            </w:pPr>
            <w:r w:rsidRPr="008E7E1A">
              <w:rPr>
                <w:sz w:val="20"/>
                <w:szCs w:val="20"/>
              </w:rPr>
              <w:t>#7 Washington Post, August 2016</w:t>
            </w:r>
          </w:p>
        </w:tc>
        <w:tc>
          <w:tcPr>
            <w:tcW w:w="0" w:type="auto"/>
            <w:tcMar>
              <w:top w:w="100" w:type="dxa"/>
              <w:left w:w="100" w:type="dxa"/>
              <w:bottom w:w="100" w:type="dxa"/>
              <w:right w:w="100" w:type="dxa"/>
            </w:tcMar>
            <w:hideMark/>
          </w:tcPr>
          <w:p w14:paraId="50856569" w14:textId="77777777" w:rsidR="001179E1" w:rsidRPr="008E7E1A" w:rsidRDefault="001179E1" w:rsidP="001179E1">
            <w:pPr>
              <w:rPr>
                <w:sz w:val="20"/>
                <w:szCs w:val="20"/>
              </w:rPr>
            </w:pPr>
            <w:r w:rsidRPr="008E7E1A">
              <w:rPr>
                <w:sz w:val="20"/>
                <w:szCs w:val="20"/>
              </w:rPr>
              <w:t>3, 4, 5, 6, 7, 8, 9, 10, 11, 12, 13, 14, 15b, 15d, 15e</w:t>
            </w:r>
          </w:p>
        </w:tc>
      </w:tr>
      <w:tr w:rsidR="001179E1" w:rsidRPr="008E7E1A" w14:paraId="7E7BFB50" w14:textId="77777777">
        <w:trPr>
          <w:trHeight w:val="515"/>
        </w:trPr>
        <w:tc>
          <w:tcPr>
            <w:tcW w:w="0" w:type="auto"/>
            <w:tcMar>
              <w:top w:w="100" w:type="dxa"/>
              <w:left w:w="100" w:type="dxa"/>
              <w:bottom w:w="100" w:type="dxa"/>
              <w:right w:w="100" w:type="dxa"/>
            </w:tcMar>
            <w:hideMark/>
          </w:tcPr>
          <w:p w14:paraId="439830DB" w14:textId="77777777" w:rsidR="001179E1" w:rsidRPr="008E7E1A" w:rsidRDefault="001179E1" w:rsidP="001179E1">
            <w:pPr>
              <w:rPr>
                <w:sz w:val="20"/>
                <w:szCs w:val="20"/>
              </w:rPr>
            </w:pPr>
            <w:r w:rsidRPr="008E7E1A">
              <w:rPr>
                <w:sz w:val="20"/>
                <w:szCs w:val="20"/>
              </w:rPr>
              <w:t>#8 Mercy For Animals, September 2015</w:t>
            </w:r>
          </w:p>
        </w:tc>
        <w:tc>
          <w:tcPr>
            <w:tcW w:w="0" w:type="auto"/>
            <w:tcMar>
              <w:top w:w="100" w:type="dxa"/>
              <w:left w:w="100" w:type="dxa"/>
              <w:bottom w:w="100" w:type="dxa"/>
              <w:right w:w="100" w:type="dxa"/>
            </w:tcMar>
            <w:hideMark/>
          </w:tcPr>
          <w:p w14:paraId="40971135" w14:textId="77777777" w:rsidR="001179E1" w:rsidRPr="008E7E1A" w:rsidRDefault="001179E1" w:rsidP="001179E1">
            <w:pPr>
              <w:rPr>
                <w:sz w:val="20"/>
                <w:szCs w:val="20"/>
              </w:rPr>
            </w:pPr>
            <w:r w:rsidRPr="008E7E1A">
              <w:rPr>
                <w:sz w:val="20"/>
                <w:szCs w:val="20"/>
              </w:rPr>
              <w:t>10</w:t>
            </w:r>
          </w:p>
        </w:tc>
      </w:tr>
      <w:tr w:rsidR="001179E1" w:rsidRPr="008E7E1A" w14:paraId="52082CBC" w14:textId="77777777">
        <w:trPr>
          <w:trHeight w:val="515"/>
        </w:trPr>
        <w:tc>
          <w:tcPr>
            <w:tcW w:w="0" w:type="auto"/>
            <w:tcMar>
              <w:top w:w="100" w:type="dxa"/>
              <w:left w:w="100" w:type="dxa"/>
              <w:bottom w:w="100" w:type="dxa"/>
              <w:right w:w="100" w:type="dxa"/>
            </w:tcMar>
            <w:hideMark/>
          </w:tcPr>
          <w:p w14:paraId="75651CD4" w14:textId="77777777" w:rsidR="001179E1" w:rsidRPr="008E7E1A" w:rsidRDefault="001179E1" w:rsidP="001179E1">
            <w:pPr>
              <w:rPr>
                <w:sz w:val="20"/>
                <w:szCs w:val="20"/>
              </w:rPr>
            </w:pPr>
            <w:r w:rsidRPr="008E7E1A">
              <w:rPr>
                <w:sz w:val="20"/>
                <w:szCs w:val="20"/>
              </w:rPr>
              <w:t>#9 THL 2015 Accomplishments (ACE)</w:t>
            </w:r>
          </w:p>
        </w:tc>
        <w:tc>
          <w:tcPr>
            <w:tcW w:w="0" w:type="auto"/>
            <w:tcMar>
              <w:top w:w="100" w:type="dxa"/>
              <w:left w:w="100" w:type="dxa"/>
              <w:bottom w:w="100" w:type="dxa"/>
              <w:right w:w="100" w:type="dxa"/>
            </w:tcMar>
            <w:hideMark/>
          </w:tcPr>
          <w:p w14:paraId="430FD917" w14:textId="77777777" w:rsidR="001179E1" w:rsidRPr="008E7E1A" w:rsidRDefault="001179E1" w:rsidP="001179E1">
            <w:pPr>
              <w:rPr>
                <w:sz w:val="20"/>
                <w:szCs w:val="20"/>
              </w:rPr>
            </w:pPr>
            <w:r w:rsidRPr="008E7E1A">
              <w:rPr>
                <w:sz w:val="20"/>
                <w:szCs w:val="20"/>
              </w:rPr>
              <w:t>10 (corroborating)</w:t>
            </w:r>
          </w:p>
        </w:tc>
      </w:tr>
      <w:tr w:rsidR="001179E1" w:rsidRPr="008E7E1A" w14:paraId="7A6330CD" w14:textId="77777777">
        <w:trPr>
          <w:trHeight w:val="515"/>
        </w:trPr>
        <w:tc>
          <w:tcPr>
            <w:tcW w:w="0" w:type="auto"/>
            <w:tcMar>
              <w:top w:w="100" w:type="dxa"/>
              <w:left w:w="100" w:type="dxa"/>
              <w:bottom w:w="100" w:type="dxa"/>
              <w:right w:w="100" w:type="dxa"/>
            </w:tcMar>
            <w:hideMark/>
          </w:tcPr>
          <w:p w14:paraId="1EA8F8EC" w14:textId="77777777" w:rsidR="001179E1" w:rsidRPr="008E7E1A" w:rsidRDefault="001179E1" w:rsidP="001179E1">
            <w:pPr>
              <w:rPr>
                <w:sz w:val="20"/>
                <w:szCs w:val="20"/>
              </w:rPr>
            </w:pPr>
            <w:r w:rsidRPr="008E7E1A">
              <w:rPr>
                <w:sz w:val="20"/>
                <w:szCs w:val="20"/>
              </w:rPr>
              <w:t>#10 Bollard 2017 (dual-tagged, see #3)</w:t>
            </w:r>
          </w:p>
        </w:tc>
        <w:tc>
          <w:tcPr>
            <w:tcW w:w="0" w:type="auto"/>
            <w:tcMar>
              <w:top w:w="100" w:type="dxa"/>
              <w:left w:w="100" w:type="dxa"/>
              <w:bottom w:w="100" w:type="dxa"/>
              <w:right w:w="100" w:type="dxa"/>
            </w:tcMar>
            <w:hideMark/>
          </w:tcPr>
          <w:p w14:paraId="0AF39CFD" w14:textId="77777777" w:rsidR="000D1F65" w:rsidRPr="008E7E1A" w:rsidRDefault="001179E1" w:rsidP="001179E1">
            <w:pPr>
              <w:rPr>
                <w:sz w:val="20"/>
                <w:szCs w:val="20"/>
              </w:rPr>
            </w:pPr>
            <w:r w:rsidRPr="008E7E1A">
              <w:rPr>
                <w:sz w:val="20"/>
                <w:szCs w:val="20"/>
              </w:rPr>
              <w:t>See #3</w:t>
            </w:r>
          </w:p>
          <w:p w14:paraId="53623A4B" w14:textId="4F6258C0" w:rsidR="000D1F65" w:rsidRPr="008E7E1A" w:rsidRDefault="000D1F65" w:rsidP="001179E1">
            <w:pPr>
              <w:rPr>
                <w:sz w:val="20"/>
                <w:szCs w:val="20"/>
              </w:rPr>
            </w:pPr>
            <w:r w:rsidRPr="008E7E1A">
              <w:rPr>
                <w:sz w:val="20"/>
                <w:szCs w:val="20"/>
              </w:rPr>
              <w:t>Heng et al. 2013 — 12</w:t>
            </w:r>
          </w:p>
        </w:tc>
      </w:tr>
    </w:tbl>
    <w:p w14:paraId="4A541558" w14:textId="77777777" w:rsidR="001179E1" w:rsidRPr="008E7E1A" w:rsidRDefault="001179E1" w:rsidP="001179E1">
      <w:pPr>
        <w:rPr>
          <w:b/>
          <w:bCs/>
          <w:sz w:val="20"/>
          <w:szCs w:val="20"/>
        </w:rPr>
      </w:pPr>
      <w:r w:rsidRPr="008E7E1A">
        <w:rPr>
          <w:b/>
          <w:bCs/>
          <w:sz w:val="20"/>
          <w:szCs w:val="20"/>
        </w:rPr>
        <w:t>OBSERVATION</w:t>
      </w:r>
    </w:p>
    <w:p w14:paraId="16C3A7F7" w14:textId="77777777" w:rsidR="001179E1" w:rsidRPr="008E7E1A" w:rsidRDefault="001179E1" w:rsidP="001179E1">
      <w:pPr>
        <w:rPr>
          <w:sz w:val="20"/>
          <w:szCs w:val="20"/>
        </w:rPr>
      </w:pPr>
      <w:r w:rsidRPr="008E7E1A">
        <w:rPr>
          <w:sz w:val="20"/>
          <w:szCs w:val="20"/>
        </w:rPr>
        <w:t>Source #7 (Washington Post) contributes evidence to 13 of 15 entries — by far the densest single source in this case, reflecting it being a long-form investigative piece rather than a press release or brief news item. This is noted transparently per the locked observation rule, and is not flagged as a risk requiring remediation. Sources #8 and #9 contribute narrowly but serve as independent corroboration for the McDonald's timing evidence.</w:t>
      </w:r>
    </w:p>
    <w:p w14:paraId="6B0F5DC8" w14:textId="77777777" w:rsidR="001179E1" w:rsidRPr="008E7E1A" w:rsidRDefault="001179E1" w:rsidP="001179E1">
      <w:pPr>
        <w:rPr>
          <w:b/>
          <w:bCs/>
          <w:sz w:val="20"/>
          <w:szCs w:val="20"/>
        </w:rPr>
      </w:pPr>
      <w:r w:rsidRPr="008E7E1A">
        <w:rPr>
          <w:b/>
          <w:bCs/>
          <w:sz w:val="20"/>
          <w:szCs w:val="20"/>
        </w:rPr>
        <w:t>CASE-LEVEL SUMMARY</w:t>
      </w:r>
    </w:p>
    <w:p w14:paraId="478DC48E" w14:textId="77777777" w:rsidR="001179E1" w:rsidRPr="008E7E1A" w:rsidRDefault="001179E1" w:rsidP="001179E1">
      <w:pPr>
        <w:rPr>
          <w:sz w:val="20"/>
          <w:szCs w:val="20"/>
        </w:rPr>
      </w:pPr>
      <w:r w:rsidRPr="008E7E1A">
        <w:rPr>
          <w:b/>
          <w:bCs/>
          <w:sz w:val="20"/>
          <w:szCs w:val="20"/>
        </w:rPr>
        <w:t>Low confidence / insufficient:</w:t>
      </w:r>
    </w:p>
    <w:p w14:paraId="24BA6204" w14:textId="77777777" w:rsidR="001179E1" w:rsidRPr="008E7E1A" w:rsidRDefault="001179E1" w:rsidP="00043AF9">
      <w:pPr>
        <w:numPr>
          <w:ilvl w:val="0"/>
          <w:numId w:val="16"/>
        </w:numPr>
        <w:rPr>
          <w:sz w:val="20"/>
          <w:szCs w:val="20"/>
        </w:rPr>
      </w:pPr>
      <w:r w:rsidRPr="008E7E1A">
        <w:rPr>
          <w:sz w:val="20"/>
          <w:szCs w:val="20"/>
        </w:rPr>
        <w:t>None.</w:t>
      </w:r>
    </w:p>
    <w:p w14:paraId="1D4EF28C" w14:textId="77777777" w:rsidR="001179E1" w:rsidRPr="008E7E1A" w:rsidRDefault="001179E1" w:rsidP="001179E1">
      <w:pPr>
        <w:rPr>
          <w:sz w:val="20"/>
          <w:szCs w:val="20"/>
        </w:rPr>
      </w:pPr>
      <w:r w:rsidRPr="008E7E1A">
        <w:rPr>
          <w:b/>
          <w:bCs/>
          <w:sz w:val="20"/>
          <w:szCs w:val="20"/>
        </w:rPr>
        <w:t>Medium confidence:</w:t>
      </w:r>
    </w:p>
    <w:p w14:paraId="78BB9616" w14:textId="77777777" w:rsidR="001179E1" w:rsidRPr="008E7E1A" w:rsidRDefault="001179E1" w:rsidP="00043AF9">
      <w:pPr>
        <w:numPr>
          <w:ilvl w:val="0"/>
          <w:numId w:val="17"/>
        </w:numPr>
        <w:rPr>
          <w:sz w:val="20"/>
          <w:szCs w:val="20"/>
        </w:rPr>
      </w:pPr>
      <w:r w:rsidRPr="008E7E1A">
        <w:rPr>
          <w:sz w:val="20"/>
          <w:szCs w:val="20"/>
        </w:rPr>
        <w:t>Coalition size/type/non-obvious allies (#8) — well-evidenced via retrospective (#3) but no contemporaneous in-window coordination artifact found; Phase 2 EXHAUSTED status from the source retrieval stage is reflected here.</w:t>
      </w:r>
    </w:p>
    <w:p w14:paraId="4F79B0CB" w14:textId="77777777" w:rsidR="001179E1" w:rsidRPr="008E7E1A" w:rsidRDefault="001179E1" w:rsidP="00043AF9">
      <w:pPr>
        <w:numPr>
          <w:ilvl w:val="0"/>
          <w:numId w:val="17"/>
        </w:numPr>
        <w:rPr>
          <w:sz w:val="20"/>
          <w:szCs w:val="20"/>
        </w:rPr>
      </w:pPr>
      <w:r w:rsidRPr="008E7E1A">
        <w:rPr>
          <w:sz w:val="20"/>
          <w:szCs w:val="20"/>
        </w:rPr>
        <w:lastRenderedPageBreak/>
        <w:t>Public sentiment starting point — Medium-High confidence. Coded from existing locked sources; no additional search required. Previously marked Insufficient in error. </w:t>
      </w:r>
    </w:p>
    <w:p w14:paraId="0A803DAE" w14:textId="77777777" w:rsidR="001179E1" w:rsidRPr="008E7E1A" w:rsidRDefault="001179E1" w:rsidP="001179E1">
      <w:pPr>
        <w:rPr>
          <w:sz w:val="20"/>
          <w:szCs w:val="20"/>
        </w:rPr>
      </w:pPr>
      <w:r w:rsidRPr="008E7E1A">
        <w:rPr>
          <w:b/>
          <w:bCs/>
          <w:sz w:val="20"/>
          <w:szCs w:val="20"/>
        </w:rPr>
        <w:t>Phase 1/4 exception use:</w:t>
      </w:r>
      <w:r w:rsidRPr="008E7E1A">
        <w:rPr>
          <w:sz w:val="20"/>
          <w:szCs w:val="20"/>
        </w:rPr>
        <w:t xml:space="preserve"> Sources #1 and #2 are Phase 1 (pre-window framing) sources used for Variable 13 (Legal/regulatory landscape) and Variable 1 (Target type) — this is within the permitted Phase 1 exception for Legal/regulatory landscape. Variable 1 (Target type) use of Phase 1 sources is justified because the framing sources directly explain the strategic pivot that defines what the in-window target type was, not a reach outside the exception.</w:t>
      </w:r>
    </w:p>
    <w:p w14:paraId="74CAFF32" w14:textId="77777777" w:rsidR="001179E1" w:rsidRPr="008E7E1A" w:rsidRDefault="001179E1" w:rsidP="001179E1">
      <w:pPr>
        <w:rPr>
          <w:b/>
          <w:bCs/>
          <w:sz w:val="20"/>
          <w:szCs w:val="20"/>
        </w:rPr>
      </w:pPr>
      <w:r w:rsidRPr="008E7E1A">
        <w:rPr>
          <w:b/>
          <w:bCs/>
          <w:sz w:val="20"/>
          <w:szCs w:val="20"/>
        </w:rPr>
        <w:t>OVERALL CASE CONFIDENCE/QUALITY FLAG</w:t>
      </w:r>
    </w:p>
    <w:p w14:paraId="2AAD09D7" w14:textId="77777777" w:rsidR="001179E1" w:rsidRPr="008E7E1A" w:rsidRDefault="001179E1" w:rsidP="001179E1">
      <w:pPr>
        <w:rPr>
          <w:sz w:val="20"/>
          <w:szCs w:val="20"/>
        </w:rPr>
      </w:pPr>
      <w:r w:rsidRPr="008E7E1A">
        <w:rPr>
          <w:b/>
          <w:bCs/>
          <w:sz w:val="20"/>
          <w:szCs w:val="20"/>
        </w:rPr>
        <w:t>High.</w:t>
      </w:r>
      <w:r w:rsidRPr="008E7E1A">
        <w:rPr>
          <w:sz w:val="20"/>
          <w:szCs w:val="20"/>
        </w:rPr>
        <w:t xml:space="preserve"> 13 of 15 entries sit at High confidence, two at Medium. Source diversity spans SEC regulatory filings, two independent long-form journalism pieces (Fortune ×2, Washington Post), an NGO self-report, an ACE-hosted accomplishments document, a government research service report, a trade-press piece, and a funder retrospective — a genuinely diverse set. The one structural gap (no contemporaneous Phase 2 coalition coordination artifact) is explicitly acknowledged and flagged, not papered over. The case is fully resolved within the window.</w:t>
      </w:r>
    </w:p>
    <w:p w14:paraId="4B5F4D81" w14:textId="77777777" w:rsidR="001179E1" w:rsidRPr="008E7E1A" w:rsidRDefault="001179E1" w:rsidP="001179E1">
      <w:pPr>
        <w:rPr>
          <w:b/>
          <w:bCs/>
          <w:sz w:val="20"/>
          <w:szCs w:val="20"/>
        </w:rPr>
      </w:pPr>
      <w:r w:rsidRPr="008E7E1A">
        <w:rPr>
          <w:b/>
          <w:bCs/>
          <w:sz w:val="20"/>
          <w:szCs w:val="20"/>
        </w:rPr>
        <w:t>HINDSIGHT NOTES</w:t>
      </w:r>
    </w:p>
    <w:p w14:paraId="222D23E2" w14:textId="77777777" w:rsidR="001179E1" w:rsidRPr="008E7E1A" w:rsidRDefault="001179E1" w:rsidP="00043AF9">
      <w:pPr>
        <w:numPr>
          <w:ilvl w:val="0"/>
          <w:numId w:val="18"/>
        </w:numPr>
        <w:rPr>
          <w:sz w:val="20"/>
          <w:szCs w:val="20"/>
        </w:rPr>
      </w:pPr>
      <w:r w:rsidRPr="008E7E1A">
        <w:rPr>
          <w:sz w:val="20"/>
          <w:szCs w:val="20"/>
        </w:rPr>
        <w:t>Hindsight note: Scale of change achieved (#11) — the 2025 implementation deadline means physical transition outcomes (actual barn conversion rates, compliance verification) will only be assessable after the window closes; post-2016 evidence suggests significant implementation shortfalls and deadline extensions by multiple companies, which would complicate the scale coding if incorporated. Not used in coding above.</w:t>
      </w:r>
    </w:p>
    <w:p w14:paraId="38C65CA9" w14:textId="77777777" w:rsidR="001179E1" w:rsidRPr="008E7E1A" w:rsidRDefault="001179E1" w:rsidP="00043AF9">
      <w:pPr>
        <w:numPr>
          <w:ilvl w:val="0"/>
          <w:numId w:val="18"/>
        </w:numPr>
        <w:rPr>
          <w:sz w:val="20"/>
          <w:szCs w:val="20"/>
        </w:rPr>
      </w:pPr>
      <w:r w:rsidRPr="008E7E1A">
        <w:rPr>
          <w:sz w:val="20"/>
          <w:szCs w:val="20"/>
        </w:rPr>
        <w:t>Hindsight note: Coalition size/type (#8) — the Open Wing Alliance (formally launched 2016, operational as an international coordination body by 2017) represents the institutionalisation of the informal coordination documented in #3; if locked as a source, it would likely upgrade coalition coding from "narrow but coordinated" toward something more formally structured. Not used in coding above.</w:t>
      </w:r>
    </w:p>
    <w:p w14:paraId="2CDD84C8" w14:textId="77777777" w:rsidR="001179E1" w:rsidRDefault="001179E1" w:rsidP="00043AF9">
      <w:pPr>
        <w:numPr>
          <w:ilvl w:val="0"/>
          <w:numId w:val="18"/>
        </w:numPr>
        <w:rPr>
          <w:sz w:val="20"/>
          <w:szCs w:val="20"/>
        </w:rPr>
      </w:pPr>
      <w:r w:rsidRPr="008E7E1A">
        <w:rPr>
          <w:sz w:val="20"/>
          <w:szCs w:val="20"/>
        </w:rPr>
        <w:t xml:space="preserve">No hindsight notes applicable for Public sentiment starting point — the medium-confidence coding reflects the best available in-window evidence, and post-campaign polling (if it exists) would not change the </w:t>
      </w:r>
      <w:r w:rsidRPr="008E7E1A">
        <w:rPr>
          <w:i/>
          <w:iCs/>
          <w:sz w:val="20"/>
          <w:szCs w:val="20"/>
        </w:rPr>
        <w:t>starting point</w:t>
      </w:r>
      <w:r w:rsidRPr="008E7E1A">
        <w:rPr>
          <w:sz w:val="20"/>
          <w:szCs w:val="20"/>
        </w:rPr>
        <w:t xml:space="preserve"> assessment.</w:t>
      </w:r>
    </w:p>
    <w:p w14:paraId="6114F959" w14:textId="043E7016" w:rsidR="008E7E1A" w:rsidRDefault="008E7E1A" w:rsidP="008E7E1A">
      <w:pPr>
        <w:pStyle w:val="Heading1"/>
      </w:pPr>
      <w:r>
        <w:t>LOCKED CASE #2 Better Chicken Commitment E</w:t>
      </w:r>
      <w:r w:rsidR="006F64E5">
        <w:t>U</w:t>
      </w:r>
    </w:p>
    <w:p w14:paraId="0D5DBBA8" w14:textId="77777777" w:rsidR="00BF6F54" w:rsidRPr="00BF6F54" w:rsidRDefault="00BF6F54" w:rsidP="00BF6F54">
      <w:pPr>
        <w:rPr>
          <w:sz w:val="20"/>
          <w:szCs w:val="20"/>
        </w:rPr>
      </w:pPr>
      <w:r w:rsidRPr="00BF6F54">
        <w:rPr>
          <w:sz w:val="20"/>
          <w:szCs w:val="20"/>
        </w:rPr>
        <w:t>LIST B — EVIDENCE / CONFIDENCE / SOURCE TAG</w:t>
      </w:r>
    </w:p>
    <w:p w14:paraId="5FF4E0E4" w14:textId="77777777" w:rsidR="00BF6F54" w:rsidRPr="00BF6F54" w:rsidRDefault="00BF6F54" w:rsidP="00BF6F54">
      <w:pPr>
        <w:numPr>
          <w:ilvl w:val="0"/>
          <w:numId w:val="56"/>
        </w:numPr>
        <w:rPr>
          <w:sz w:val="20"/>
          <w:szCs w:val="20"/>
        </w:rPr>
      </w:pPr>
      <w:r w:rsidRPr="00BF6F54">
        <w:rPr>
          <w:sz w:val="20"/>
          <w:szCs w:val="20"/>
        </w:rPr>
        <w:t>Target type Evidence: Source 7 (founding letter) directly addresses named companies across retail, foodservice, manufacturing, and producer sectors as the primary ask. Source 1 (ECC official website) establishes the voluntary corporate commitment as the primary campaign mechanism. Source 8 (AVEC/ADAS, March 2024) and Source 11 (OWA Progress Report 2025) document the EU legislative dimension as an emerging secondary institutional lever alongside the corporate campaign. Confidence: High — corporate-primary targeting directly evidenced by campaign founding documents; secondary policy lever evidenced in outcome documentation. Source Tag: Sources 1, 7, 8, 11.</w:t>
      </w:r>
    </w:p>
    <w:p w14:paraId="506461E5" w14:textId="77777777" w:rsidR="00BF6F54" w:rsidRPr="00BF6F54" w:rsidRDefault="00BF6F54" w:rsidP="00BF6F54">
      <w:pPr>
        <w:numPr>
          <w:ilvl w:val="0"/>
          <w:numId w:val="56"/>
        </w:numPr>
        <w:rPr>
          <w:sz w:val="20"/>
          <w:szCs w:val="20"/>
        </w:rPr>
      </w:pPr>
      <w:r w:rsidRPr="00BF6F54">
        <w:rPr>
          <w:sz w:val="20"/>
          <w:szCs w:val="20"/>
        </w:rPr>
        <w:t>Concentration of decision-making power Evidence: Source 11 (OWA Progress Report 2025) tracks 394+ independent corporate commitments across multiple countries and sectors, establishing no single or collective decision-making body. Source 7 (founding letter) and Source 1 (ECC official) establish a per-company commitment architecture with no collective bargaining mechanism — each firm's leadership must independently decide to sign and implement. Confidence: High — 394+ figure directly from outcome documentation; per-firm commitment structure directly evidenced in campaign documents. Source Tag: Sources 1, 7, 11.</w:t>
      </w:r>
    </w:p>
    <w:p w14:paraId="360C6A94" w14:textId="77777777" w:rsidR="00BF6F54" w:rsidRPr="00BF6F54" w:rsidRDefault="00BF6F54" w:rsidP="00BF6F54">
      <w:pPr>
        <w:numPr>
          <w:ilvl w:val="0"/>
          <w:numId w:val="56"/>
        </w:numPr>
        <w:rPr>
          <w:sz w:val="20"/>
          <w:szCs w:val="20"/>
        </w:rPr>
      </w:pPr>
      <w:r w:rsidRPr="00BF6F54">
        <w:rPr>
          <w:sz w:val="20"/>
          <w:szCs w:val="20"/>
        </w:rPr>
        <w:t>Strength of opposition Evidence: Source 8 (RSK ADAS/AVEC, March 2024) is a named-author, methodologically transparent economic counter-study commissioned by AVEC — the EU-wide poultry trade body — directly contesting ECC viability with sector-wide cost modelling. Source 9 (Poultry World/Food &amp; Agribusiness, July 2024) documents the AVEC president making sustained public statements contesting the welfare framing, framing the clash as an ongoing public dispute between the trade body and animal welfare organisations. Confidence: High — counter-study and sustained public contestation directly evidenced from verified sources. Source Tag: Sources 8, 9.</w:t>
      </w:r>
    </w:p>
    <w:p w14:paraId="1561882F" w14:textId="77777777" w:rsidR="00BF6F54" w:rsidRPr="00BF6F54" w:rsidRDefault="00BF6F54" w:rsidP="00BF6F54">
      <w:pPr>
        <w:numPr>
          <w:ilvl w:val="0"/>
          <w:numId w:val="56"/>
        </w:numPr>
        <w:rPr>
          <w:sz w:val="20"/>
          <w:szCs w:val="20"/>
        </w:rPr>
      </w:pPr>
      <w:r w:rsidRPr="00BF6F54">
        <w:rPr>
          <w:sz w:val="20"/>
          <w:szCs w:val="20"/>
        </w:rPr>
        <w:lastRenderedPageBreak/>
        <w:t>Type of opposition Evidence: Source 8 (AVEC/ADAS) provides the industry economic and scientific counter-study framing ECC compliance as commercially unviable. Source 9 documents consumer-choice and affordability reframing by AVEC, positioning the ECC as a threat to accessible protein. Source 12 (ChickenTrack 2025, March 2026) documents 18 UK brand withdrawals from ECC commitments in 2025–26 as direct corporate walkback of prior signed commitments. Confidence: High — each opposition type evidenced from a separate verified source. Source Tag: Sources 8, 9, 12.</w:t>
      </w:r>
    </w:p>
    <w:p w14:paraId="59B23370" w14:textId="77777777" w:rsidR="00BF6F54" w:rsidRPr="00BF6F54" w:rsidRDefault="00BF6F54" w:rsidP="00BF6F54">
      <w:pPr>
        <w:numPr>
          <w:ilvl w:val="0"/>
          <w:numId w:val="56"/>
        </w:numPr>
        <w:rPr>
          <w:sz w:val="20"/>
          <w:szCs w:val="20"/>
        </w:rPr>
      </w:pPr>
      <w:r w:rsidRPr="00BF6F54">
        <w:rPr>
          <w:sz w:val="20"/>
          <w:szCs w:val="20"/>
        </w:rPr>
        <w:t>Visibility of harm Evidence: Source 2 (SCAHAW, European Commission, 2000) establishes that broiler welfare harms — including lameness, cardiovascular stress, and contact dermatitis from stocking density — are technical and require scientific expertise to identify and quantify rather than being visually immediate. Source 3 (Kestin et al. 1999) documents leg weakness as a welfare indicator requiring clinical assessment rather than lay observation. No source in the locked set documents any equivalent to battery-cage iconic imagery that made layer hen welfare viscerally accessible to the public. Confidence: High — technical nature of harm directly established by Phase 1 scientific sources; absence of iconic imagery is evidenced by the locked source set as a whole. Phase 1 exception used: Sources 2 and 3 for pre-campaign scientific characterisation of broiler welfare harm visibility. Source Tag: Sources 2 (Phase 1 exception), 3 (Phase 1 exception).</w:t>
      </w:r>
    </w:p>
    <w:p w14:paraId="246C2AA7" w14:textId="77777777" w:rsidR="00BF6F54" w:rsidRPr="00BF6F54" w:rsidRDefault="00BF6F54" w:rsidP="00BF6F54">
      <w:pPr>
        <w:numPr>
          <w:ilvl w:val="0"/>
          <w:numId w:val="56"/>
        </w:numPr>
        <w:rPr>
          <w:sz w:val="20"/>
          <w:szCs w:val="20"/>
        </w:rPr>
      </w:pPr>
      <w:r w:rsidRPr="00BF6F54">
        <w:rPr>
          <w:sz w:val="20"/>
          <w:szCs w:val="20"/>
        </w:rPr>
        <w:t>Degree of behaviour change required Evidence: Source 1 (ECC official) specifies the commitment criteria: breed change to slower-growing varieties, stocking density reduction to 30kg/m², enhanced environmental enrichment, and controlled atmosphere stunning. Source 8 (AVEC/ADAS) quantifies the infrastructure implications: 9,000+ new poultry houses required EU-wide and altered growing cycles increasing time to slaughter weight. Source 7 (founding letter) confirms the expectation of fundamental production system change rather than incremental adjustment. Confidence: High — criteria directly stated in official campaign documents; infrastructure scale quantified by the industry's own commissioned study. Source Tag: Sources 1, 7, 8.</w:t>
      </w:r>
    </w:p>
    <w:p w14:paraId="64AD0FC6" w14:textId="77777777" w:rsidR="00BF6F54" w:rsidRPr="00BF6F54" w:rsidRDefault="00BF6F54" w:rsidP="00BF6F54">
      <w:pPr>
        <w:numPr>
          <w:ilvl w:val="0"/>
          <w:numId w:val="56"/>
        </w:numPr>
        <w:rPr>
          <w:sz w:val="20"/>
          <w:szCs w:val="20"/>
        </w:rPr>
      </w:pPr>
      <w:r w:rsidRPr="00BF6F54">
        <w:rPr>
          <w:sz w:val="20"/>
          <w:szCs w:val="20"/>
        </w:rPr>
        <w:t>Role of policy vs market pressure vs cultural shift Evidence: Source 1 (ECC official) and Source 7 (founding letter) establish the voluntary corporate commitment as the primary mechanism — market-facing, not legislative. Source 8 (AVEC/ADAS) notes the EU broiler directive review process as an emerging regulatory dimension. Source 11 (OWA Progress Report 2025) documents the EFSA 2023 scientific opinion and EU Commission legal complaint as parallel institutional levers activated during the campaign window. Confidence: High for market-led primary classification — directly evidenced by campaign structure and founding documents; Medium for policy lever emergence — EFSA 2023 and legal complaint referenced via Source 11 rather than dedicated locked sources. Source Tag: Sources 1, 7, 8, 11.</w:t>
      </w:r>
    </w:p>
    <w:p w14:paraId="5E43073A" w14:textId="77777777" w:rsidR="00BF6F54" w:rsidRPr="00BF6F54" w:rsidRDefault="00BF6F54" w:rsidP="00BF6F54">
      <w:pPr>
        <w:numPr>
          <w:ilvl w:val="0"/>
          <w:numId w:val="56"/>
        </w:numPr>
        <w:rPr>
          <w:sz w:val="20"/>
          <w:szCs w:val="20"/>
        </w:rPr>
      </w:pPr>
      <w:r w:rsidRPr="00BF6F54">
        <w:rPr>
          <w:sz w:val="20"/>
          <w:szCs w:val="20"/>
        </w:rPr>
        <w:t>Coalition size, type, and presence of non-obvious allies Evidence: Source 4 (OWA homepage) identifies the Open Wing Alliance coordinating body across 95 member organisations. Source 5 (Beck/EA, 2019) describes coalition mechanics, diversity of tactics, and the deliberate strategy of aligning normally non-aligned organisations on a single ask. Source 6 (Animal Equality "Our History") documents one of the key founding organisations confirming direct institutional involvement in the ECC from launch. Source 7 (founding letter) documents the multi-country, multi-sector scope of original signatories. Source 11 (OWA Progress Report 2025) identifies producer Norsk Kylling and Germany's Haltungsform national certification scheme as non-obvious allies providing implementation infrastructure. Confidence: High — coalition size and structure directly evidenced across multiple sources; non-obvious allies named in outcome documentation. Source Tag: Sources 4, 5, 6, 7, 11.</w:t>
      </w:r>
    </w:p>
    <w:p w14:paraId="4C793647" w14:textId="77777777" w:rsidR="00BF6F54" w:rsidRPr="00BF6F54" w:rsidRDefault="00BF6F54" w:rsidP="00BF6F54">
      <w:pPr>
        <w:numPr>
          <w:ilvl w:val="0"/>
          <w:numId w:val="56"/>
        </w:numPr>
        <w:rPr>
          <w:sz w:val="20"/>
          <w:szCs w:val="20"/>
        </w:rPr>
      </w:pPr>
      <w:r w:rsidRPr="00BF6F54">
        <w:rPr>
          <w:sz w:val="20"/>
          <w:szCs w:val="20"/>
        </w:rPr>
        <w:t>Economic disruption required Evidence: Source 8 (AVEC/ADAS, March 2024) quantifies the industry-modelled cost of full ECC compliance: +37.5% cost per kg of meat, 44% output reduction per m² of housing, and approximately €8.24–12.9bn EU-wide capital investment requirement. Source 10 (Mostert et al. 2022) provides independent corroboration via peer-reviewed life-cycle assessment of higher-welfare Dutch broiler production, confirming the structural scale of production system change required. Confidence: High — cost figures directly stated in industry-commissioned study; independently corroborated by peer-reviewed LCA. Source Tag: Sources 8, 10.</w:t>
      </w:r>
    </w:p>
    <w:p w14:paraId="61242572" w14:textId="77777777" w:rsidR="00BF6F54" w:rsidRPr="00BF6F54" w:rsidRDefault="00BF6F54" w:rsidP="00BF6F54">
      <w:pPr>
        <w:numPr>
          <w:ilvl w:val="0"/>
          <w:numId w:val="56"/>
        </w:numPr>
        <w:rPr>
          <w:sz w:val="20"/>
          <w:szCs w:val="20"/>
        </w:rPr>
      </w:pPr>
      <w:r w:rsidRPr="00BF6F54">
        <w:rPr>
          <w:sz w:val="20"/>
          <w:szCs w:val="20"/>
        </w:rPr>
        <w:t xml:space="preserve">Speed of change achieved Evidence: Source 11 (OWA Progress Report 2025) documents rapid full compliance by early movers including Waitrose and M&amp;S against severe breed-criterion lag — 36 companies below 10% progress and 17 at 0% on breed change as of 2025. Source 12 (ChickenTrack 2025, March 2026) documents 18 UK brand withdrawals in 2025–26 as active reversal of prior commitments, coexisting with welfare gains on non-breed </w:t>
      </w:r>
      <w:r w:rsidRPr="00BF6F54">
        <w:rPr>
          <w:sz w:val="20"/>
          <w:szCs w:val="20"/>
        </w:rPr>
        <w:lastRenderedPageBreak/>
        <w:t>criteria. Confidence: High — specific company-level figures and withdrawal count directly evidenced across two independent outcome documents. Source Tag: Sources 11, 12.</w:t>
      </w:r>
    </w:p>
    <w:p w14:paraId="42BD7695" w14:textId="77777777" w:rsidR="00BF6F54" w:rsidRPr="00BF6F54" w:rsidRDefault="00BF6F54" w:rsidP="00BF6F54">
      <w:pPr>
        <w:numPr>
          <w:ilvl w:val="0"/>
          <w:numId w:val="56"/>
        </w:numPr>
        <w:rPr>
          <w:sz w:val="20"/>
          <w:szCs w:val="20"/>
        </w:rPr>
      </w:pPr>
      <w:r w:rsidRPr="00BF6F54">
        <w:rPr>
          <w:sz w:val="20"/>
          <w:szCs w:val="20"/>
        </w:rPr>
        <w:t>Scale of change achieved Evidence: Source 11 (OWA Progress Report 2025) documents 394+ companies under commitment, approximately 1.3bn chickens within commitment scope, 260m+ already impacted, and 29 of 93 tracked companies disclosing no progress in 2025. Source 12 (ChickenTrack 2025, March 2026) corroborates welfare gains on non-breed criteria alongside active UK market reversal, confirming the mixed/unresolved characterisation. Confidence: High — aggregate figures and company-level compliance data directly evidenced from two independent outcome tracking sources. Source Tag: Sources 11, 12.</w:t>
      </w:r>
    </w:p>
    <w:p w14:paraId="797B08BE" w14:textId="77777777" w:rsidR="00BF6F54" w:rsidRPr="00BF6F54" w:rsidRDefault="00BF6F54" w:rsidP="00BF6F54">
      <w:pPr>
        <w:numPr>
          <w:ilvl w:val="0"/>
          <w:numId w:val="56"/>
        </w:numPr>
        <w:rPr>
          <w:sz w:val="20"/>
          <w:szCs w:val="20"/>
        </w:rPr>
      </w:pPr>
      <w:r w:rsidRPr="00BF6F54">
        <w:rPr>
          <w:sz w:val="20"/>
          <w:szCs w:val="20"/>
        </w:rPr>
        <w:t>Public sentiment starting point Evidence: Source 9 (Poultry World/Food &amp; Agribusiness, July 2024) reports the Eurobarometer October 2023 finding that 84% of Europeans want farmed animal welfare better protected — accepted as an in-window secondary source per the source protocol note, as the Eurobarometer primary is Category B (not phase-counted). No pre-campaign polling specific to broiler welfare is available in the locked source set; the Eurobarometer figure is used as the best available proxy for baseline public disposition toward the campaign's welfare framing. Confidence: Medium — the 84% figure is from 2023, well within the campaign window rather than strictly pre-campaign; the Eurobarometer primary is Category B cited only via Source 9; no locked source provides pre-2017 broiler-specific public sentiment data. Source Tag: Source 9.</w:t>
      </w:r>
    </w:p>
    <w:p w14:paraId="000B6055" w14:textId="77777777" w:rsidR="00BF6F54" w:rsidRPr="00BF6F54" w:rsidRDefault="00BF6F54" w:rsidP="00BF6F54">
      <w:pPr>
        <w:numPr>
          <w:ilvl w:val="0"/>
          <w:numId w:val="56"/>
        </w:numPr>
        <w:rPr>
          <w:sz w:val="20"/>
          <w:szCs w:val="20"/>
        </w:rPr>
      </w:pPr>
      <w:r w:rsidRPr="00BF6F54">
        <w:rPr>
          <w:sz w:val="20"/>
          <w:szCs w:val="20"/>
        </w:rPr>
        <w:t>Legal/regulatory landscape Evidence: Source 1 (ECC official) establishes that the ECC's 30kg/m² stocking density standard voluntarily exceeds the EU Council Directive 2007/43/EC floor of 42kg/m², confirming a permissive but low-bar regulatory baseline at campaign launch. Source 2 (SCAHAW 2000, Phase 1 exception) establishes that the scientific case for stricter broiler standards predated EU legislative action, providing the evidence base the campaign drew on. Source 8 (AVEC/ADAS) references the EU broiler directive review context. Source 11 (OWA Progress Report 2025) documents landscape evolution via the EFSA 2023 scientific opinion, EU Commission legal complaint acknowledgment, and UK judicial review. Confidence: High for permissive baseline — ECC standard vs directive floor directly evidenced; Medium for regulatory evolution — EFSA 2023, legal complaint, and UK judicial review referenced via Source 11 rather than dedicated locked sources. Phase 1 exception used: Source 2 (SCAHAW 2000) for pre-campaign scientific and regulatory landscape. Source Tag: Sources 1, 2 (Phase 1 exception), 8, 11.</w:t>
      </w:r>
    </w:p>
    <w:p w14:paraId="4F7B415E" w14:textId="77777777" w:rsidR="00BF6F54" w:rsidRPr="00BF6F54" w:rsidRDefault="00BF6F54" w:rsidP="00BF6F54">
      <w:pPr>
        <w:numPr>
          <w:ilvl w:val="0"/>
          <w:numId w:val="56"/>
        </w:numPr>
        <w:rPr>
          <w:sz w:val="20"/>
          <w:szCs w:val="20"/>
        </w:rPr>
      </w:pPr>
      <w:r w:rsidRPr="00BF6F54">
        <w:rPr>
          <w:sz w:val="20"/>
          <w:szCs w:val="20"/>
        </w:rPr>
        <w:t>Narrative dominance Evidence: Source 8 (AVEC/ADAS) deploys competing industry framing: consumer-choice and affordability risk, food security threat, and GHG emissions increase of +24.4% under full ECC compliance. Source 9 documents AVEC president sustaining this counter-narrative publicly through mid-2024. Source 10 (Mostert et al. 2022) provides the independent LCA that partially underpins both industry and campaign GHG claims, confirming that the scientific evidence is itself contested in application. Sources 11 and 12 document continued corporate engagement alongside withdrawal, indicating neither narrative had achieved dominance as of July 2026. Confidence: Medium — contested status evidenced across multiple sources; no direct measurement of narrative penetration in consumer or trade channels; dominance assessed by inference from corporate behaviour and the sustained industry counter-campaign. Source Tag: Sources 8, 9, 10, 11, 12.</w:t>
      </w:r>
    </w:p>
    <w:p w14:paraId="46879E99" w14:textId="77777777" w:rsidR="00BF6F54" w:rsidRPr="00BF6F54" w:rsidRDefault="00BF6F54" w:rsidP="00BF6F54">
      <w:pPr>
        <w:numPr>
          <w:ilvl w:val="0"/>
          <w:numId w:val="56"/>
        </w:numPr>
        <w:rPr>
          <w:sz w:val="20"/>
          <w:szCs w:val="20"/>
        </w:rPr>
      </w:pPr>
      <w:r w:rsidRPr="00BF6F54">
        <w:rPr>
          <w:sz w:val="20"/>
          <w:szCs w:val="20"/>
        </w:rPr>
        <w:t>Notable Tactics</w:t>
      </w:r>
      <w:r w:rsidRPr="00BF6F54">
        <w:rPr>
          <w:sz w:val="20"/>
          <w:szCs w:val="20"/>
        </w:rPr>
        <w:br/>
        <w:t>a. Joint single-issue letter despite normal non-alignment among signatories Evidence: Source 7 (founding letter) explicitly frames the commitment as cross-organisational with acknowledged disagreement on other issues — the letter structure itself embeds this framing. Source 5 (Beck/EA 2019) describes the deliberate coalition strategy of aligning normally non-aligned organisations on the single ECC ask. Confidence: High — founding letter directly evidences the tactic; coalition rationale directly described in Source 5. Source Tag: Sources 5, 7.</w:t>
      </w:r>
      <w:r w:rsidRPr="00BF6F54">
        <w:rPr>
          <w:sz w:val="20"/>
          <w:szCs w:val="20"/>
        </w:rPr>
        <w:br/>
        <w:t>b. Standardised criteria with built-in third-party audit and annual public reporting Evidence: Source 1 (ECC official) states the commitment criteria including the third-party audit requirement and annual public reporting obligation as embedded structural features of the commitment itself rather than voluntary add-ons. Confidence: High — directly stated in the official campaign commitment document. Source Tag: Source 1.</w:t>
      </w:r>
      <w:r w:rsidRPr="00BF6F54">
        <w:rPr>
          <w:sz w:val="20"/>
          <w:szCs w:val="20"/>
        </w:rPr>
        <w:br/>
        <w:t xml:space="preserve">c. Public annual compliance scorecard naming individual companies Evidence: Source 11 (OWA Progress Report 2025) is the 2025 iteration of the annual tracking report, naming companies by criterion and compliance level. Source 12 (ChickenTrack 2025, March 2026) documents the parallel Compassion in World Farming tracking report, establishing that multi-organisation annual public accountability has been sustained across multiple years. Confidence: High — two independent annual tracking documents directly evidence the sustained </w:t>
      </w:r>
      <w:r w:rsidRPr="00BF6F54">
        <w:rPr>
          <w:sz w:val="20"/>
          <w:szCs w:val="20"/>
        </w:rPr>
        <w:lastRenderedPageBreak/>
        <w:t>scorecard mechanism. Source Tag: Sources 11, 12.</w:t>
      </w:r>
      <w:r w:rsidRPr="00BF6F54">
        <w:rPr>
          <w:sz w:val="20"/>
          <w:szCs w:val="20"/>
        </w:rPr>
        <w:br/>
        <w:t>d. Sector-spanning simultaneous targeting Evidence: Source 7 (founding letter) addresses retailers, foodservice operators, restaurants, manufacturers, and producers simultaneously in a single coordinated ask rather than sequentially. Source 11 (OWA Progress Report 2025) confirms this multi-sector scope in the outcome data tracking commitments across all named sectors. Confidence: High — founding letter directly evidences simultaneous multi-sector targeting; outcome documentation confirms sustained multi-sector scope. Source Tag: Sources 7, 11.</w:t>
      </w:r>
      <w:r w:rsidRPr="00BF6F54">
        <w:rPr>
          <w:sz w:val="20"/>
          <w:szCs w:val="20"/>
        </w:rPr>
        <w:br/>
        <w:t>e. Case-by-case roadmap negotiation with individual companies Evidence: Source 5 (Beck/EA 2019) describes the OWA's approach of supporting individual company implementation beyond the point of signing as a deliberate campaign practice. Source 11 (OWA Progress Report 2025) confirms individual company roadmap support as ongoing practice in the outcome period. Confidence: High — described as deliberate strategy in Source 5; confirmed as continuing practice in Source 11. Source Tag: Sources 5, 11.</w:t>
      </w:r>
      <w:r w:rsidRPr="00BF6F54">
        <w:rPr>
          <w:sz w:val="20"/>
          <w:szCs w:val="20"/>
        </w:rPr>
        <w:br/>
        <w:t>f. Legal complaint filed with EU Commission as parallel institutional lever Evidence: Source 11 (OWA Progress Report 2025) documents the legal complaint as a parallel institutional pressure mechanism running alongside the voluntary commitment campaign. Confidence: Medium — evidenced in one source only; no dedicated locked source covers the complaint independently. Source Tag: Source 11.</w:t>
      </w:r>
    </w:p>
    <w:p w14:paraId="5BDC26D3" w14:textId="77777777" w:rsidR="00BF6F54" w:rsidRPr="00BF6F54" w:rsidRDefault="00BF6F54" w:rsidP="00BF6F54">
      <w:pPr>
        <w:rPr>
          <w:sz w:val="20"/>
          <w:szCs w:val="20"/>
        </w:rPr>
      </w:pPr>
      <w:r w:rsidRPr="00BF6F54">
        <w:rPr>
          <w:b/>
          <w:bCs/>
          <w:sz w:val="20"/>
          <w:szCs w:val="20"/>
        </w:rPr>
        <w:t>SOURCE-TO-VARIABLE MAPPING</w:t>
      </w:r>
    </w:p>
    <w:p w14:paraId="27CA654A" w14:textId="77777777" w:rsidR="00BF6F54" w:rsidRPr="00BF6F54" w:rsidRDefault="00BF6F54" w:rsidP="00BF6F54">
      <w:pPr>
        <w:rPr>
          <w:sz w:val="20"/>
          <w:szCs w:val="20"/>
        </w:rPr>
      </w:pPr>
      <w:r w:rsidRPr="00BF6F54">
        <w:rPr>
          <w:sz w:val="20"/>
          <w:szCs w:val="20"/>
        </w:rPr>
        <w:t>Source 1 (ECC official website) — 1, 2, 6, 7, 13, 15b Source 2 (SCAHAW/European Commission, 2000) — 5, 13 (Phase 1 exception) Source 3 (Kestin et al., Poultry Science, 1999) — 5 (Phase 1 exception) Source 4 (Open Wing Alliance homepage) — 8 Source 5 (Beck/EA, 2019) — 8, 15a, 15e Source 6 (Animal Equality "Our History") — 8 Source 7 (ECC founding letter) — 1, 2, 6, 8, 15a, 15d Source 8 (RSK ADAS/AVEC, March 2024) — 3, 4, 6, 7, 9, 13, 14 Source 9 (Poultry World/Food &amp; Agribusiness, July 2024) — 3, 4, 12, 14 Source 10 (Mostert et al., Poultry Science, 2022) — 9, 14 Source 11 (OWA Progress Report 2025) — 1, 2, 7, 8, 10, 11, 13, 14, 15c, 15d, 15e, 15f Source 12 (ChickenTrack 2025, March 2026) — 4, 10, 11, 14, 15c</w:t>
      </w:r>
    </w:p>
    <w:p w14:paraId="1A9C8C4C" w14:textId="77777777" w:rsidR="00BF6F54" w:rsidRPr="00BF6F54" w:rsidRDefault="00BF6F54" w:rsidP="00BF6F54">
      <w:pPr>
        <w:rPr>
          <w:sz w:val="20"/>
          <w:szCs w:val="20"/>
        </w:rPr>
      </w:pPr>
      <w:r w:rsidRPr="00BF6F54">
        <w:rPr>
          <w:b/>
          <w:bCs/>
          <w:sz w:val="20"/>
          <w:szCs w:val="20"/>
        </w:rPr>
        <w:t>OBSERVATION</w:t>
      </w:r>
    </w:p>
    <w:p w14:paraId="02BEECDF" w14:textId="77777777" w:rsidR="00BF6F54" w:rsidRPr="00BF6F54" w:rsidRDefault="00BF6F54" w:rsidP="00BF6F54">
      <w:pPr>
        <w:rPr>
          <w:sz w:val="20"/>
          <w:szCs w:val="20"/>
        </w:rPr>
      </w:pPr>
      <w:r w:rsidRPr="00BF6F54">
        <w:rPr>
          <w:sz w:val="20"/>
          <w:szCs w:val="20"/>
        </w:rPr>
        <w:t>Source 11 (OWA Progress Report 2025) is the single most-loaded source in this profile, contributing evidence to ten variables and four tactics — reflecting the absence of independent third-party outcome documentation at the same level of detail. Source 8 (AVEC/ADAS) is the second most-loaded source and is the sole basis for the industry's quantified economic counter-framing; it should be noted that it is a commissioned industry document rather than independent research, though its named-author, methodologically transparent structure partially offsets this. Source 10 (Mostert et al. 2022) is the only peer-reviewed independent source covering economic and environmental implications, giving it disproportionate weight for Variables 9 and 14. Sources 2 and 3 (Phase 1 exceptions) are used narrowly for Variable 5 only, establishing the pre-campaign scientific characterisation of harm visibility. Source 4 (OWA homepage) is JavaScript-rendered with no extractable text and contributes only to Variable 8 as a coalition overview. The campaign is ongoing; all Variables 10 and 11 codings are provisional as of July 2026.</w:t>
      </w:r>
    </w:p>
    <w:p w14:paraId="7191CF65" w14:textId="77777777" w:rsidR="00BF6F54" w:rsidRPr="00BF6F54" w:rsidRDefault="00BF6F54" w:rsidP="00BF6F54">
      <w:pPr>
        <w:rPr>
          <w:sz w:val="20"/>
          <w:szCs w:val="20"/>
        </w:rPr>
      </w:pPr>
      <w:r w:rsidRPr="00BF6F54">
        <w:rPr>
          <w:b/>
          <w:bCs/>
          <w:sz w:val="20"/>
          <w:szCs w:val="20"/>
        </w:rPr>
        <w:t>CASE-LEVEL SUMMARY</w:t>
      </w:r>
    </w:p>
    <w:p w14:paraId="01CE523B" w14:textId="77777777" w:rsidR="00BF6F54" w:rsidRPr="00BF6F54" w:rsidRDefault="00BF6F54" w:rsidP="00BF6F54">
      <w:pPr>
        <w:rPr>
          <w:sz w:val="20"/>
          <w:szCs w:val="20"/>
        </w:rPr>
      </w:pPr>
      <w:r w:rsidRPr="00BF6F54">
        <w:rPr>
          <w:sz w:val="20"/>
          <w:szCs w:val="20"/>
        </w:rPr>
        <w:t>Variables coded at Insufficient: None. Variables coded at Medium confidence: Variable 7 (Role of policy vs market) — policy lever emergence (EFSA 2023, legal complaint) referenced via Source 11 rather than dedicated locked sources. Variable 12 (Public sentiment starting point) — Eurobarometer primary is Category B; 84% figure is from 2023 within-window rather than strictly pre-campaign; no pre-2017 broiler-specific polling available. Variable 13 (Legal/regulatory landscape) — permissive baseline is High confidence; regulatory evolution (EFSA 2023, legal complaint, UK judicial review) referenced via Source 11 rather than dedicated locked sources. Variable 14 (Narrative dominance) — contested status inferred from corporate behaviour and sustained industry counter-campaign rather than direct measurement of narrative penetration. Variable 15f (Legal complaint as parallel lever) — evidenced in one source only; no independent locked source covers the complaint. Phase 1 exception used: Variable 5 — Sources 2 (SCAHAW 2000) and 3 (Kestin et al. 1999) for pre-campaign scientific characterisation of broiler welfare harm visibility. Variable 13 — Source 2 (SCAHAW 2000) for pre-campaign scientific and regulatory landscape.</w:t>
      </w:r>
    </w:p>
    <w:p w14:paraId="63354147" w14:textId="77777777" w:rsidR="00BF6F54" w:rsidRPr="00BF6F54" w:rsidRDefault="00BF6F54" w:rsidP="00BF6F54">
      <w:pPr>
        <w:rPr>
          <w:sz w:val="20"/>
          <w:szCs w:val="20"/>
        </w:rPr>
      </w:pPr>
      <w:r w:rsidRPr="00BF6F54">
        <w:rPr>
          <w:b/>
          <w:bCs/>
          <w:sz w:val="20"/>
          <w:szCs w:val="20"/>
        </w:rPr>
        <w:t>OVERALL CASE CONFIDENCE/QUALITY FLAG</w:t>
      </w:r>
    </w:p>
    <w:p w14:paraId="0D162235" w14:textId="77777777" w:rsidR="00BF6F54" w:rsidRPr="00BF6F54" w:rsidRDefault="00BF6F54" w:rsidP="00BF6F54">
      <w:pPr>
        <w:rPr>
          <w:sz w:val="20"/>
          <w:szCs w:val="20"/>
        </w:rPr>
      </w:pPr>
      <w:r w:rsidRPr="00BF6F54">
        <w:rPr>
          <w:sz w:val="20"/>
          <w:szCs w:val="20"/>
        </w:rPr>
        <w:t xml:space="preserve">High overall, with caveats. The majority of variables are coded at High confidence from verified primary sources including the official ECC commitment documents, the industry's own commissioned economic study, two independent outcome </w:t>
      </w:r>
      <w:r w:rsidRPr="00BF6F54">
        <w:rPr>
          <w:sz w:val="20"/>
          <w:szCs w:val="20"/>
        </w:rPr>
        <w:lastRenderedPageBreak/>
        <w:t>tracking reports, and a peer-reviewed life-cycle assessment. The five Medium confidence codings cluster around two structural limitations: first, Source 11 carrying the evidential load for several regulatory and institutional developments (EFSA 2023, legal complaint, UK judicial review) that lack dedicated locked sources; and second, the absence of pre-campaign public sentiment data specific to broiler welfare. The campaign's ongoing status means all outcome codings (Variables 10 and 11) are provisional and will require revision at window close. Source 8's status as a commissioned industry document is the most significant source quality flag; it is partially offset by its methodological transparency and named authorship, and by Source 10 providing independent peer-reviewed corroboration of the economic scale of change required.</w:t>
      </w:r>
    </w:p>
    <w:p w14:paraId="252AF477" w14:textId="77777777" w:rsidR="00BF6F54" w:rsidRPr="00BF6F54" w:rsidRDefault="00BF6F54" w:rsidP="00BF6F54">
      <w:pPr>
        <w:rPr>
          <w:sz w:val="20"/>
          <w:szCs w:val="20"/>
        </w:rPr>
      </w:pPr>
      <w:r w:rsidRPr="00BF6F54">
        <w:rPr>
          <w:b/>
          <w:bCs/>
          <w:sz w:val="20"/>
          <w:szCs w:val="20"/>
        </w:rPr>
        <w:t>HINDSIGHT NOTES</w:t>
      </w:r>
    </w:p>
    <w:p w14:paraId="7BF14F52" w14:textId="77777777" w:rsidR="00BF6F54" w:rsidRPr="00BF6F54" w:rsidRDefault="00BF6F54" w:rsidP="00BF6F54">
      <w:pPr>
        <w:rPr>
          <w:sz w:val="20"/>
          <w:szCs w:val="20"/>
        </w:rPr>
      </w:pPr>
      <w:r w:rsidRPr="00BF6F54">
        <w:rPr>
          <w:sz w:val="20"/>
          <w:szCs w:val="20"/>
        </w:rPr>
        <w:t>No post-window hindsight notes apply. The campaign window remains open as of July 2026 per the locked rule. Source 12 (ChickenTrack 2025, March 2026) is the most recent evidence in the locked set and is treated as a within-window outcome source rather than a post-window hindsight source. The 18 UK brand withdrawals documented in Source 12 represent the most significant late-window development and are coded in Variables 4, 10, and 11 rather than deferred to hindsight. If the campaign window closes — whether by EU legislative adoption of ECC-level standards or a formal campaign conclusion — Variables 10, 11, and 14 will require the most substantial revision.</w:t>
      </w:r>
    </w:p>
    <w:p w14:paraId="5E2998A4" w14:textId="37203621" w:rsidR="006D3B98" w:rsidRPr="0085026D" w:rsidRDefault="001E548A" w:rsidP="006D3B98">
      <w:pPr>
        <w:pStyle w:val="Heading1"/>
      </w:pPr>
      <w:r>
        <w:t xml:space="preserve">LOCKED </w:t>
      </w:r>
      <w:r w:rsidR="006D3B98">
        <w:t xml:space="preserve">CASE </w:t>
      </w:r>
      <w:r>
        <w:t>#</w:t>
      </w:r>
      <w:r w:rsidR="006D3B98">
        <w:t xml:space="preserve">3 </w:t>
      </w:r>
      <w:r w:rsidR="006D3B98" w:rsidRPr="0085026D">
        <w:t>SeaWorld / Anti-Captivity Post-Blackfish</w:t>
      </w:r>
    </w:p>
    <w:p w14:paraId="4C9F80B7" w14:textId="6C475A35" w:rsidR="00934D4B" w:rsidRPr="00934D4B" w:rsidRDefault="00934D4B" w:rsidP="00934D4B">
      <w:r w:rsidRPr="00934D4B">
        <w:rPr>
          <w:b/>
          <w:bCs/>
        </w:rPr>
        <w:t>Window: 19 January 2013 (Sundance premiere) → 17 March 2016 (SeaWorld ends orca breeding)</w:t>
      </w:r>
      <w:r w:rsidRPr="00934D4B">
        <w:br/>
      </w:r>
      <w:r w:rsidRPr="00934D4B">
        <w:rPr>
          <w:b/>
          <w:bCs/>
        </w:rPr>
        <w:t>Resolved/passed</w:t>
      </w:r>
    </w:p>
    <w:p w14:paraId="0EB88E89" w14:textId="77777777" w:rsidR="00934D4B" w:rsidRPr="001E548A" w:rsidRDefault="00934D4B" w:rsidP="00934D4B">
      <w:pPr>
        <w:rPr>
          <w:sz w:val="20"/>
          <w:szCs w:val="20"/>
        </w:rPr>
      </w:pPr>
      <w:r w:rsidRPr="001E548A">
        <w:rPr>
          <w:b/>
          <w:bCs/>
          <w:sz w:val="20"/>
          <w:szCs w:val="20"/>
        </w:rPr>
        <w:t>LIST B — EVIDENCE / CONFIDENCE / SOURCE TAG</w:t>
      </w:r>
    </w:p>
    <w:p w14:paraId="5940C781" w14:textId="77777777" w:rsidR="00934D4B" w:rsidRPr="001E548A" w:rsidRDefault="00934D4B" w:rsidP="00043AF9">
      <w:pPr>
        <w:numPr>
          <w:ilvl w:val="0"/>
          <w:numId w:val="45"/>
        </w:numPr>
        <w:rPr>
          <w:sz w:val="20"/>
          <w:szCs w:val="20"/>
        </w:rPr>
      </w:pPr>
      <w:r w:rsidRPr="001E548A">
        <w:rPr>
          <w:sz w:val="20"/>
          <w:szCs w:val="20"/>
        </w:rPr>
        <w:t>Target type</w:t>
      </w:r>
      <w:r w:rsidRPr="001E548A">
        <w:rPr>
          <w:sz w:val="20"/>
          <w:szCs w:val="20"/>
        </w:rPr>
        <w:br/>
        <w:t>Evidence: SeaWorld Entertainment Inc. is the consistent primary target across all seven locked sources. The California Coastal Commission and California legislature emerge as secondary government targets through the Blue World permit fight and AB 2140/2305 legislative sequence documented in Parsons &amp; Rose.</w:t>
      </w:r>
      <w:r w:rsidRPr="001E548A">
        <w:rPr>
          <w:sz w:val="20"/>
          <w:szCs w:val="20"/>
        </w:rPr>
        <w:br/>
        <w:t>Confidence: High — directly and consistently named across all sources.</w:t>
      </w:r>
      <w:r w:rsidRPr="001E548A">
        <w:rPr>
          <w:sz w:val="20"/>
          <w:szCs w:val="20"/>
        </w:rPr>
        <w:br/>
        <w:t>Source Tag: All sources; Parsons &amp; Rose for legislative detail.</w:t>
      </w:r>
    </w:p>
    <w:p w14:paraId="2532805F" w14:textId="77777777" w:rsidR="00934D4B" w:rsidRPr="001E548A" w:rsidRDefault="00934D4B" w:rsidP="00043AF9">
      <w:pPr>
        <w:numPr>
          <w:ilvl w:val="0"/>
          <w:numId w:val="45"/>
        </w:numPr>
        <w:rPr>
          <w:sz w:val="20"/>
          <w:szCs w:val="20"/>
        </w:rPr>
      </w:pPr>
      <w:r w:rsidRPr="001E548A">
        <w:rPr>
          <w:sz w:val="20"/>
          <w:szCs w:val="20"/>
        </w:rPr>
        <w:t>Concentration of decision-making power</w:t>
      </w:r>
      <w:r w:rsidRPr="001E548A">
        <w:rPr>
          <w:sz w:val="20"/>
          <w:szCs w:val="20"/>
        </w:rPr>
        <w:br/>
        <w:t>Evidence: Parsons &amp; Rose detail the Coastal Commission's 11-1 vote and SeaWorld's single corporate board structure; a small number of named decision-makers (CEO Atchison, then Manby) drove the final 2016 announcement. IMMP/Palmer documents the 11-1 vote specifically.</w:t>
      </w:r>
      <w:r w:rsidRPr="001E548A">
        <w:rPr>
          <w:sz w:val="20"/>
          <w:szCs w:val="20"/>
        </w:rPr>
        <w:br/>
        <w:t>Confidence: High — directly evidenced across multiple sources.</w:t>
      </w:r>
      <w:r w:rsidRPr="001E548A">
        <w:rPr>
          <w:sz w:val="20"/>
          <w:szCs w:val="20"/>
        </w:rPr>
        <w:br/>
        <w:t>Source Tag: Parsons &amp; Rose; IMMP/Palmer.</w:t>
      </w:r>
    </w:p>
    <w:p w14:paraId="1D73948E" w14:textId="77777777" w:rsidR="00934D4B" w:rsidRPr="001E548A" w:rsidRDefault="00934D4B" w:rsidP="00043AF9">
      <w:pPr>
        <w:numPr>
          <w:ilvl w:val="0"/>
          <w:numId w:val="45"/>
        </w:numPr>
        <w:rPr>
          <w:sz w:val="20"/>
          <w:szCs w:val="20"/>
        </w:rPr>
      </w:pPr>
      <w:r w:rsidRPr="001E548A">
        <w:rPr>
          <w:sz w:val="20"/>
          <w:szCs w:val="20"/>
        </w:rPr>
        <w:t>Strength of opposition</w:t>
      </w:r>
      <w:r w:rsidRPr="001E548A">
        <w:rPr>
          <w:sz w:val="20"/>
          <w:szCs w:val="20"/>
        </w:rPr>
        <w:br/>
        <w:t>Evidence: Boissat et al.'s stock-market counterfactual analysis independently confirms SeaWorld's financial position deteriorated specifically rather than sector-wide, evidencing weakening institutional power over the window. Waller &amp; Iluzada's framing analysis concludes Blackfish's narrative prevailed over SeaWorld's counterframing.</w:t>
      </w:r>
      <w:r w:rsidRPr="001E548A">
        <w:rPr>
          <w:sz w:val="20"/>
          <w:szCs w:val="20"/>
        </w:rPr>
        <w:br/>
        <w:t>Confidence: High — independent academic confirmation via two separate methodologies.</w:t>
      </w:r>
      <w:r w:rsidRPr="001E548A">
        <w:rPr>
          <w:sz w:val="20"/>
          <w:szCs w:val="20"/>
        </w:rPr>
        <w:br/>
        <w:t>Source Tag: Boissat et al.; Waller &amp; Iluzada.</w:t>
      </w:r>
    </w:p>
    <w:p w14:paraId="7616CF78" w14:textId="77777777" w:rsidR="00934D4B" w:rsidRPr="001E548A" w:rsidRDefault="00934D4B" w:rsidP="00043AF9">
      <w:pPr>
        <w:numPr>
          <w:ilvl w:val="0"/>
          <w:numId w:val="45"/>
        </w:numPr>
        <w:rPr>
          <w:sz w:val="20"/>
          <w:szCs w:val="20"/>
        </w:rPr>
      </w:pPr>
      <w:r w:rsidRPr="001E548A">
        <w:rPr>
          <w:sz w:val="20"/>
          <w:szCs w:val="20"/>
        </w:rPr>
        <w:t>Type of opposition</w:t>
      </w:r>
      <w:r w:rsidRPr="001E548A">
        <w:rPr>
          <w:sz w:val="20"/>
          <w:szCs w:val="20"/>
        </w:rPr>
        <w:br/>
        <w:t>Evidence: Parsons &amp; Rose and Boissat et al. both document SeaWorld's December 2013 open letter, its "propaganda" framing of the film, its 2015 advertising campaign, and its 2014 active opposition to AB 2140 versus 2016 neutral stance on AB 2305 — spanning public rebuttal, legal action (Coastal Commission lawsuit), and political engagement.</w:t>
      </w:r>
      <w:r w:rsidRPr="001E548A">
        <w:rPr>
          <w:sz w:val="20"/>
          <w:szCs w:val="20"/>
        </w:rPr>
        <w:br/>
        <w:t>Confidence: High — documented across multiple sources with specific dates and named actions.</w:t>
      </w:r>
      <w:r w:rsidRPr="001E548A">
        <w:rPr>
          <w:sz w:val="20"/>
          <w:szCs w:val="20"/>
        </w:rPr>
        <w:br/>
        <w:t>Source Tag: Parsons &amp; Rose; Boissat et al.; Waller &amp; Iluzada.</w:t>
      </w:r>
    </w:p>
    <w:p w14:paraId="64221E29" w14:textId="77777777" w:rsidR="00934D4B" w:rsidRPr="001E548A" w:rsidRDefault="00934D4B" w:rsidP="00043AF9">
      <w:pPr>
        <w:numPr>
          <w:ilvl w:val="0"/>
          <w:numId w:val="45"/>
        </w:numPr>
        <w:rPr>
          <w:sz w:val="20"/>
          <w:szCs w:val="20"/>
        </w:rPr>
      </w:pPr>
      <w:r w:rsidRPr="001E548A">
        <w:rPr>
          <w:sz w:val="20"/>
          <w:szCs w:val="20"/>
        </w:rPr>
        <w:t>Visibility of harm to the public</w:t>
      </w:r>
      <w:r w:rsidRPr="001E548A">
        <w:rPr>
          <w:sz w:val="20"/>
          <w:szCs w:val="20"/>
        </w:rPr>
        <w:br/>
        <w:t xml:space="preserve">Evidence: Boissat et al. report approximately 21 million viewers reached within one month of the CNN airing. </w:t>
      </w:r>
      <w:r w:rsidRPr="001E548A">
        <w:rPr>
          <w:sz w:val="20"/>
          <w:szCs w:val="20"/>
        </w:rPr>
        <w:lastRenderedPageBreak/>
        <w:t>IDA/Chattoo documents the #Blackfish Twitter trend reaching 7.3 million people via 70,000 tweets.</w:t>
      </w:r>
      <w:r w:rsidRPr="001E548A">
        <w:rPr>
          <w:sz w:val="20"/>
          <w:szCs w:val="20"/>
        </w:rPr>
        <w:br/>
        <w:t>Confidence: High — precise, sourced viewer and engagement figures from two independent sources.</w:t>
      </w:r>
      <w:r w:rsidRPr="001E548A">
        <w:rPr>
          <w:sz w:val="20"/>
          <w:szCs w:val="20"/>
        </w:rPr>
        <w:br/>
        <w:t>Source Tag: Boissat et al.; IDA/Chattoo.</w:t>
      </w:r>
    </w:p>
    <w:p w14:paraId="0BEBF692" w14:textId="77777777" w:rsidR="00934D4B" w:rsidRPr="001E548A" w:rsidRDefault="00934D4B" w:rsidP="00043AF9">
      <w:pPr>
        <w:numPr>
          <w:ilvl w:val="0"/>
          <w:numId w:val="45"/>
        </w:numPr>
        <w:rPr>
          <w:sz w:val="20"/>
          <w:szCs w:val="20"/>
        </w:rPr>
      </w:pPr>
      <w:r w:rsidRPr="001E548A">
        <w:rPr>
          <w:sz w:val="20"/>
          <w:szCs w:val="20"/>
        </w:rPr>
        <w:t>Degree of behaviour change required</w:t>
      </w:r>
      <w:r w:rsidRPr="001E548A">
        <w:rPr>
          <w:sz w:val="20"/>
          <w:szCs w:val="20"/>
        </w:rPr>
        <w:br/>
        <w:t>Evidence: SeaWorld's actual change was narrow — end breeding, redesign one show — while parks, other animal exhibits, and the broader business model continued. Boissat et al. note the 2017 replacement show still used orcas with different staging.</w:t>
      </w:r>
      <w:r w:rsidRPr="001E548A">
        <w:rPr>
          <w:sz w:val="20"/>
          <w:szCs w:val="20"/>
        </w:rPr>
        <w:br/>
        <w:t>Confidence: High — directly evidenced across multiple sources.</w:t>
      </w:r>
      <w:r w:rsidRPr="001E548A">
        <w:rPr>
          <w:sz w:val="20"/>
          <w:szCs w:val="20"/>
        </w:rPr>
        <w:br/>
        <w:t>Source Tag: Boissat et al.; Parsons &amp; Rose.</w:t>
      </w:r>
    </w:p>
    <w:p w14:paraId="765EF330" w14:textId="77777777" w:rsidR="00934D4B" w:rsidRPr="001E548A" w:rsidRDefault="00934D4B" w:rsidP="00043AF9">
      <w:pPr>
        <w:numPr>
          <w:ilvl w:val="0"/>
          <w:numId w:val="45"/>
        </w:numPr>
        <w:rPr>
          <w:sz w:val="20"/>
          <w:szCs w:val="20"/>
        </w:rPr>
      </w:pPr>
      <w:r w:rsidRPr="001E548A">
        <w:rPr>
          <w:sz w:val="20"/>
          <w:szCs w:val="20"/>
        </w:rPr>
        <w:t>Role of policy vs market pressure vs cultural shift</w:t>
      </w:r>
      <w:r w:rsidRPr="001E548A">
        <w:rPr>
          <w:sz w:val="20"/>
          <w:szCs w:val="20"/>
        </w:rPr>
        <w:br/>
        <w:t>Evidence: Boissat et al.'s GEM analysis explicitly ranks Blackfish and stock-value decline as the most-cited influential factors by stakeholders, with 15 of 26 interviewees ranking it first. The corporate decision (17 March 2016) preceded the state law (September 2016) by six months, confirming market and reputational pressure as the operative mechanism rather than legal compulsion.</w:t>
      </w:r>
      <w:r w:rsidRPr="001E548A">
        <w:rPr>
          <w:sz w:val="20"/>
          <w:szCs w:val="20"/>
        </w:rPr>
        <w:br/>
        <w:t>Confidence: High — direct interview-based ranking data plus clear sequencing.</w:t>
      </w:r>
      <w:r w:rsidRPr="001E548A">
        <w:rPr>
          <w:sz w:val="20"/>
          <w:szCs w:val="20"/>
        </w:rPr>
        <w:br/>
        <w:t>Source Tag: Boissat et al.</w:t>
      </w:r>
    </w:p>
    <w:p w14:paraId="33A46276" w14:textId="77777777" w:rsidR="00934D4B" w:rsidRPr="001E548A" w:rsidRDefault="00934D4B" w:rsidP="00043AF9">
      <w:pPr>
        <w:numPr>
          <w:ilvl w:val="0"/>
          <w:numId w:val="45"/>
        </w:numPr>
        <w:rPr>
          <w:sz w:val="20"/>
          <w:szCs w:val="20"/>
        </w:rPr>
      </w:pPr>
      <w:r w:rsidRPr="001E548A">
        <w:rPr>
          <w:sz w:val="20"/>
          <w:szCs w:val="20"/>
        </w:rPr>
        <w:t>Coalition size, type, and presence of non-obvious allies</w:t>
      </w:r>
      <w:r w:rsidRPr="001E548A">
        <w:rPr>
          <w:sz w:val="20"/>
          <w:szCs w:val="20"/>
        </w:rPr>
        <w:br/>
        <w:t>Evidence: IMMP/Palmer names the coalition explicitly (PETA, ALDF, AWI, HSUS, Sierra Club California, Sea Shepherd) and the scientist letter signatories (Goodall, Marino, Frohoff, Spong, Cousteau). IDA/Chattoo documents corporate partner defections (Southwest Airlines) and celebrity engagement as a distinct non-obvious-ally layer beyond the core animal welfare coalition.</w:t>
      </w:r>
      <w:r w:rsidRPr="001E548A">
        <w:rPr>
          <w:sz w:val="20"/>
          <w:szCs w:val="20"/>
        </w:rPr>
        <w:br/>
        <w:t>Confidence: High — named individuals and organisations directly documented.</w:t>
      </w:r>
      <w:r w:rsidRPr="001E548A">
        <w:rPr>
          <w:sz w:val="20"/>
          <w:szCs w:val="20"/>
        </w:rPr>
        <w:br/>
        <w:t>Source Tag: IMMP/Palmer; IDA/Chattoo; Parsons &amp; Rose.</w:t>
      </w:r>
    </w:p>
    <w:p w14:paraId="4462239B" w14:textId="77777777" w:rsidR="00934D4B" w:rsidRPr="001E548A" w:rsidRDefault="00934D4B" w:rsidP="00043AF9">
      <w:pPr>
        <w:numPr>
          <w:ilvl w:val="0"/>
          <w:numId w:val="45"/>
        </w:numPr>
        <w:rPr>
          <w:sz w:val="20"/>
          <w:szCs w:val="20"/>
        </w:rPr>
      </w:pPr>
      <w:r w:rsidRPr="001E548A">
        <w:rPr>
          <w:sz w:val="20"/>
          <w:szCs w:val="20"/>
        </w:rPr>
        <w:t>Economic disruption required</w:t>
      </w:r>
      <w:r w:rsidRPr="001E548A">
        <w:rPr>
          <w:sz w:val="20"/>
          <w:szCs w:val="20"/>
        </w:rPr>
        <w:br/>
        <w:t>Evidence: SeaWorld's core ticketed-entertainment business model continued unchanged after the 2016 announcement; only the breeding programme and one show format ended, a narrow operational change relative to the company's full revenue base. Boissat et al. reference post-2016 financial reports confirming continued park operation.</w:t>
      </w:r>
      <w:r w:rsidRPr="001E548A">
        <w:rPr>
          <w:sz w:val="20"/>
          <w:szCs w:val="20"/>
        </w:rPr>
        <w:br/>
        <w:t>Confidence: Medium — reasonable inference from what changed and did not change rather than a source explicitly quantifying disruption as a proportion of revenue.</w:t>
      </w:r>
      <w:r w:rsidRPr="001E548A">
        <w:rPr>
          <w:sz w:val="20"/>
          <w:szCs w:val="20"/>
        </w:rPr>
        <w:br/>
        <w:t>Source Tag: Parsons &amp; Rose; Boissat et al.</w:t>
      </w:r>
    </w:p>
    <w:p w14:paraId="03FCC9E1" w14:textId="77777777" w:rsidR="00934D4B" w:rsidRPr="001E548A" w:rsidRDefault="00934D4B" w:rsidP="00043AF9">
      <w:pPr>
        <w:numPr>
          <w:ilvl w:val="0"/>
          <w:numId w:val="45"/>
        </w:numPr>
        <w:rPr>
          <w:sz w:val="20"/>
          <w:szCs w:val="20"/>
        </w:rPr>
      </w:pPr>
      <w:r w:rsidRPr="001E548A">
        <w:rPr>
          <w:sz w:val="20"/>
          <w:szCs w:val="20"/>
        </w:rPr>
        <w:t>Speed of change achieved</w:t>
      </w:r>
      <w:r w:rsidRPr="001E548A">
        <w:rPr>
          <w:sz w:val="20"/>
          <w:szCs w:val="20"/>
        </w:rPr>
        <w:br/>
        <w:t>Evidence: Parsons &amp; Rose and Boissat et al. both place the decisive announcement at 17 March 2016, following converging pressure from the Coastal Commission ruling (October 2015), the ALDF lawsuit, and the reintroduction of AB 2305. Once the tipping point was reached, the corporate reversal was rapid — a single announcement rather than a phased transition.</w:t>
      </w:r>
      <w:r w:rsidRPr="001E548A">
        <w:rPr>
          <w:sz w:val="20"/>
          <w:szCs w:val="20"/>
        </w:rPr>
        <w:br/>
        <w:t>Confidence: High — precisely dated across multiple sources.</w:t>
      </w:r>
      <w:r w:rsidRPr="001E548A">
        <w:rPr>
          <w:sz w:val="20"/>
          <w:szCs w:val="20"/>
        </w:rPr>
        <w:br/>
        <w:t>Source Tag: Parsons &amp; Rose; Boissat et al.; ALDF case record.</w:t>
      </w:r>
    </w:p>
    <w:p w14:paraId="13D964AE" w14:textId="77777777" w:rsidR="00934D4B" w:rsidRPr="001E548A" w:rsidRDefault="00934D4B" w:rsidP="00043AF9">
      <w:pPr>
        <w:numPr>
          <w:ilvl w:val="0"/>
          <w:numId w:val="45"/>
        </w:numPr>
        <w:rPr>
          <w:sz w:val="20"/>
          <w:szCs w:val="20"/>
        </w:rPr>
      </w:pPr>
      <w:r w:rsidRPr="001E548A">
        <w:rPr>
          <w:sz w:val="20"/>
          <w:szCs w:val="20"/>
        </w:rPr>
        <w:t>Scale of change achieved</w:t>
      </w:r>
      <w:r w:rsidRPr="001E548A">
        <w:rPr>
          <w:sz w:val="20"/>
          <w:szCs w:val="20"/>
        </w:rPr>
        <w:br/>
        <w:t>Evidence: Change was company-wide across all SeaWorld US parks per Boissat et al. and Parsons &amp; Rose. International ripple effects (Vancouver Aquarium 2018) and cross-campaign precedent (Ringling Bros. elephants) are documented in Boissat et al. but explicitly framed as indirect and partial, not a global captivity ban.</w:t>
      </w:r>
      <w:r w:rsidRPr="001E548A">
        <w:rPr>
          <w:sz w:val="20"/>
          <w:szCs w:val="20"/>
        </w:rPr>
        <w:br/>
        <w:t>Confidence: High — scope of change directly evidenced; limitations explicitly noted in sources.</w:t>
      </w:r>
      <w:r w:rsidRPr="001E548A">
        <w:rPr>
          <w:sz w:val="20"/>
          <w:szCs w:val="20"/>
        </w:rPr>
        <w:br/>
        <w:t>Source Tag: Parsons &amp; Rose; Boissat et al.</w:t>
      </w:r>
    </w:p>
    <w:p w14:paraId="15F81392" w14:textId="77777777" w:rsidR="00934D4B" w:rsidRPr="001E548A" w:rsidRDefault="00934D4B" w:rsidP="00043AF9">
      <w:pPr>
        <w:numPr>
          <w:ilvl w:val="0"/>
          <w:numId w:val="45"/>
        </w:numPr>
        <w:rPr>
          <w:sz w:val="20"/>
          <w:szCs w:val="20"/>
        </w:rPr>
      </w:pPr>
      <w:r w:rsidRPr="001E548A">
        <w:rPr>
          <w:sz w:val="20"/>
          <w:szCs w:val="20"/>
        </w:rPr>
        <w:t>Public sentiment starting point</w:t>
      </w:r>
      <w:r w:rsidRPr="001E548A">
        <w:rPr>
          <w:sz w:val="20"/>
          <w:szCs w:val="20"/>
        </w:rPr>
        <w:br/>
        <w:t xml:space="preserve">Evidence: A July 2012 nationally representative poll (n=1,000+, conducted by independent Opinion Research Corporation on behalf of WDCS, AWI, and HSUS; margin of error ±3.1%) — the first-ever nationwide poll on orca captivity attitudes, conducted six months before the campaign window opened — found only 26% of Americans supported orca captivity, 39% opposed it, and 35% were undecided. Eighty-two percent agreed that orcas' inability to engage in natural behaviours was a convincing reason to end captivity, and 71% said ending orca </w:t>
      </w:r>
      <w:r w:rsidRPr="001E548A">
        <w:rPr>
          <w:sz w:val="20"/>
          <w:szCs w:val="20"/>
        </w:rPr>
        <w:lastRenderedPageBreak/>
        <w:t>shows would make no difference to their decision to visit a marine park. A 2014 follow-up using identical methodology showed opposition had risen to 50% during the campaign window, confirming 2012 as a genuine pre-campaign baseline. IDA/Chattoo and Boissat et al. corroborate that pre-Blackfish public engagement with the issue was limited to committed activists, consistent with the large undecided bloc in the 2012 poll.</w:t>
      </w:r>
      <w:r w:rsidRPr="001E548A">
        <w:rPr>
          <w:sz w:val="20"/>
          <w:szCs w:val="20"/>
        </w:rPr>
        <w:br/>
        <w:t>Confidence: High — pre-campaign nationally representative polling directly evidenced; the poll's advocacy-organisation commissioning is noted but does not undermine validity given independent ORC methodology and margin of error. 2014 follow-up provides direct before/during comparison.</w:t>
      </w:r>
      <w:r w:rsidRPr="001E548A">
        <w:rPr>
          <w:sz w:val="20"/>
          <w:szCs w:val="20"/>
        </w:rPr>
        <w:br/>
        <w:t>Source Tag: WDCS/AWI/HSUS/ORC poll July 2012 (new addition); AWI/WDC/ORC poll May 2014 (new addition); IDA/Chattoo; Boissat et al.</w:t>
      </w:r>
    </w:p>
    <w:p w14:paraId="69138FE5" w14:textId="77777777" w:rsidR="00934D4B" w:rsidRPr="001E548A" w:rsidRDefault="00934D4B" w:rsidP="00043AF9">
      <w:pPr>
        <w:numPr>
          <w:ilvl w:val="0"/>
          <w:numId w:val="45"/>
        </w:numPr>
        <w:rPr>
          <w:sz w:val="20"/>
          <w:szCs w:val="20"/>
        </w:rPr>
      </w:pPr>
      <w:r w:rsidRPr="001E548A">
        <w:rPr>
          <w:sz w:val="20"/>
          <w:szCs w:val="20"/>
        </w:rPr>
        <w:t>Legal/regulatory landscape</w:t>
      </w:r>
      <w:r w:rsidRPr="001E548A">
        <w:rPr>
          <w:sz w:val="20"/>
          <w:szCs w:val="20"/>
        </w:rPr>
        <w:br/>
        <w:t>Evidence: Parsons &amp; Rose detail the Coastal Commission's contested-but-upheld authority (SeaWorld's lawsuit argued lack of jurisdiction; ALDF and Sea Shepherd intervened to defend it) and the AB 2140 (2014, failed)/AB 2305 (2016, passed) legislative sequence. No federal law existed or passed in-window; the ORCA Act stalled in Congress.</w:t>
      </w:r>
      <w:r w:rsidRPr="001E548A">
        <w:rPr>
          <w:sz w:val="20"/>
          <w:szCs w:val="20"/>
        </w:rPr>
        <w:br/>
        <w:t>Confidence: High — directly and specifically documented.</w:t>
      </w:r>
      <w:r w:rsidRPr="001E548A">
        <w:rPr>
          <w:sz w:val="20"/>
          <w:szCs w:val="20"/>
        </w:rPr>
        <w:br/>
        <w:t>Source Tag: Parsons &amp; Rose; ALDF case record.</w:t>
      </w:r>
    </w:p>
    <w:p w14:paraId="2E842573" w14:textId="77777777" w:rsidR="00934D4B" w:rsidRPr="001E548A" w:rsidRDefault="00934D4B" w:rsidP="00043AF9">
      <w:pPr>
        <w:numPr>
          <w:ilvl w:val="0"/>
          <w:numId w:val="45"/>
        </w:numPr>
        <w:rPr>
          <w:sz w:val="20"/>
          <w:szCs w:val="20"/>
        </w:rPr>
      </w:pPr>
      <w:r w:rsidRPr="001E548A">
        <w:rPr>
          <w:sz w:val="20"/>
          <w:szCs w:val="20"/>
        </w:rPr>
        <w:t>Narrative dominance</w:t>
      </w:r>
      <w:r w:rsidRPr="001E548A">
        <w:rPr>
          <w:sz w:val="20"/>
          <w:szCs w:val="20"/>
        </w:rPr>
        <w:br/>
        <w:t>Evidence: Waller &amp; Iluzada's dedicated framing-contest analysis concludes Blackfish's anti-captivity frame had resonance, coherence, and credibility that proved superior to SeaWorld's counterframing. Boissat et al. corroborate via stakeholder interviews describing SeaWorld's pre-existing education/conservation narrative as suddenly vulnerable once challenged.</w:t>
      </w:r>
      <w:r w:rsidRPr="001E548A">
        <w:rPr>
          <w:sz w:val="20"/>
          <w:szCs w:val="20"/>
        </w:rPr>
        <w:br/>
        <w:t>Confidence: High — dedicated academic framing study plus independent corroboration.</w:t>
      </w:r>
      <w:r w:rsidRPr="001E548A">
        <w:rPr>
          <w:sz w:val="20"/>
          <w:szCs w:val="20"/>
        </w:rPr>
        <w:br/>
        <w:t>Source Tag: Waller &amp; Iluzada; Boissat et al.</w:t>
      </w:r>
    </w:p>
    <w:p w14:paraId="1E9D7DC7" w14:textId="77777777" w:rsidR="00934D4B" w:rsidRPr="001E548A" w:rsidRDefault="00934D4B" w:rsidP="00043AF9">
      <w:pPr>
        <w:numPr>
          <w:ilvl w:val="0"/>
          <w:numId w:val="45"/>
        </w:numPr>
        <w:rPr>
          <w:sz w:val="20"/>
          <w:szCs w:val="20"/>
        </w:rPr>
      </w:pPr>
      <w:r w:rsidRPr="001E548A">
        <w:rPr>
          <w:sz w:val="20"/>
          <w:szCs w:val="20"/>
        </w:rPr>
        <w:t>Notable Tactics</w:t>
      </w:r>
    </w:p>
    <w:p w14:paraId="1AEEFC55" w14:textId="77777777" w:rsidR="00934D4B" w:rsidRPr="001E548A" w:rsidRDefault="00934D4B" w:rsidP="00934D4B">
      <w:pPr>
        <w:rPr>
          <w:sz w:val="20"/>
          <w:szCs w:val="20"/>
        </w:rPr>
      </w:pPr>
      <w:r w:rsidRPr="001E548A">
        <w:rPr>
          <w:sz w:val="20"/>
          <w:szCs w:val="20"/>
        </w:rPr>
        <w:t>a. Strategic multi-platform distribution sequencing</w:t>
      </w:r>
      <w:r w:rsidRPr="001E548A">
        <w:rPr>
          <w:sz w:val="20"/>
          <w:szCs w:val="20"/>
        </w:rPr>
        <w:br/>
        <w:t>Evidence: IDA/Chattoo provides a detailed strategic account of the Sundance → Magnolia/CNN → Netflix sequencing and its deliberate credibility-transfer logic, documenting each platform's distinct contribution to reach and institutional legitimacy.</w:t>
      </w:r>
      <w:r w:rsidRPr="001E548A">
        <w:rPr>
          <w:sz w:val="20"/>
          <w:szCs w:val="20"/>
        </w:rPr>
        <w:br/>
        <w:t>Confidence: High — directly and specifically documented.</w:t>
      </w:r>
      <w:r w:rsidRPr="001E548A">
        <w:rPr>
          <w:sz w:val="20"/>
          <w:szCs w:val="20"/>
        </w:rPr>
        <w:br/>
        <w:t>Source Tag: IDA/Chattoo.</w:t>
      </w:r>
    </w:p>
    <w:p w14:paraId="5D5315D4" w14:textId="77777777" w:rsidR="00934D4B" w:rsidRPr="001E548A" w:rsidRDefault="00934D4B" w:rsidP="00934D4B">
      <w:pPr>
        <w:rPr>
          <w:sz w:val="20"/>
          <w:szCs w:val="20"/>
        </w:rPr>
      </w:pPr>
      <w:r w:rsidRPr="001E548A">
        <w:rPr>
          <w:sz w:val="20"/>
          <w:szCs w:val="20"/>
        </w:rPr>
        <w:t>b. Single named subject as emotional narrative anchor</w:t>
      </w:r>
      <w:r w:rsidRPr="001E548A">
        <w:rPr>
          <w:sz w:val="20"/>
          <w:szCs w:val="20"/>
        </w:rPr>
        <w:br/>
        <w:t>Evidence: Boissat et al. provide explicit narrative-construction analysis documenting the anthropomorphism, protagonist/antagonist framing, and emotional identification built around Tilikum specifically.</w:t>
      </w:r>
      <w:r w:rsidRPr="001E548A">
        <w:rPr>
          <w:sz w:val="20"/>
          <w:szCs w:val="20"/>
        </w:rPr>
        <w:br/>
        <w:t>Confidence: High.</w:t>
      </w:r>
      <w:r w:rsidRPr="001E548A">
        <w:rPr>
          <w:sz w:val="20"/>
          <w:szCs w:val="20"/>
        </w:rPr>
        <w:br/>
        <w:t>Source Tag: Boissat et al.</w:t>
      </w:r>
    </w:p>
    <w:p w14:paraId="577954C2" w14:textId="77777777" w:rsidR="00934D4B" w:rsidRPr="001E548A" w:rsidRDefault="00934D4B" w:rsidP="00934D4B">
      <w:pPr>
        <w:rPr>
          <w:sz w:val="20"/>
          <w:szCs w:val="20"/>
        </w:rPr>
      </w:pPr>
      <w:r w:rsidRPr="001E548A">
        <w:rPr>
          <w:sz w:val="20"/>
          <w:szCs w:val="20"/>
        </w:rPr>
        <w:t>c. Coordinated grassroots-to-elite escalation</w:t>
      </w:r>
      <w:r w:rsidRPr="001E548A">
        <w:rPr>
          <w:sz w:val="20"/>
          <w:szCs w:val="20"/>
        </w:rPr>
        <w:br/>
        <w:t>Evidence: IDA/Chattoo documents the PETA campaign scaling and celebrity engagement tier; ALDF case record and IMMP/Palmer document the formal legal intervention tier — two independently documented tiers of the same coordinated campaign.</w:t>
      </w:r>
      <w:r w:rsidRPr="001E548A">
        <w:rPr>
          <w:sz w:val="20"/>
          <w:szCs w:val="20"/>
        </w:rPr>
        <w:br/>
        <w:t>Confidence: High — both tiers independently sourced.</w:t>
      </w:r>
      <w:r w:rsidRPr="001E548A">
        <w:rPr>
          <w:sz w:val="20"/>
          <w:szCs w:val="20"/>
        </w:rPr>
        <w:br/>
        <w:t>Source Tag: IDA/Chattoo; ALDF case record; IMMP/Palmer.</w:t>
      </w:r>
    </w:p>
    <w:p w14:paraId="64B58226" w14:textId="77777777" w:rsidR="00934D4B" w:rsidRPr="001E548A" w:rsidRDefault="00934D4B" w:rsidP="00934D4B">
      <w:pPr>
        <w:rPr>
          <w:sz w:val="20"/>
          <w:szCs w:val="20"/>
        </w:rPr>
      </w:pPr>
      <w:r w:rsidRPr="001E548A">
        <w:rPr>
          <w:sz w:val="20"/>
          <w:szCs w:val="20"/>
        </w:rPr>
        <w:t>d. Leveraging an unrelated regulatory process as legal leverage</w:t>
      </w:r>
      <w:r w:rsidRPr="001E548A">
        <w:rPr>
          <w:sz w:val="20"/>
          <w:szCs w:val="20"/>
        </w:rPr>
        <w:br/>
        <w:t>Evidence: IMMP/Palmer and ALDF case record both explicitly and in detail document the strategy of attaching a breeding ban condition to the Blue World tank-expansion permit via the Coastal Commission process.</w:t>
      </w:r>
      <w:r w:rsidRPr="001E548A">
        <w:rPr>
          <w:sz w:val="20"/>
          <w:szCs w:val="20"/>
        </w:rPr>
        <w:br/>
        <w:t>Confidence: High — directly and specifically documented in two independent sources.</w:t>
      </w:r>
      <w:r w:rsidRPr="001E548A">
        <w:rPr>
          <w:sz w:val="20"/>
          <w:szCs w:val="20"/>
        </w:rPr>
        <w:br/>
        <w:t>Source Tag: IMMP/Palmer; ALDF case record.</w:t>
      </w:r>
    </w:p>
    <w:p w14:paraId="224EC652" w14:textId="77777777" w:rsidR="00934D4B" w:rsidRPr="001E548A" w:rsidRDefault="00934D4B" w:rsidP="00934D4B">
      <w:pPr>
        <w:rPr>
          <w:sz w:val="20"/>
          <w:szCs w:val="20"/>
        </w:rPr>
      </w:pPr>
      <w:r w:rsidRPr="001E548A">
        <w:rPr>
          <w:sz w:val="20"/>
          <w:szCs w:val="20"/>
        </w:rPr>
        <w:t>e. Recruiting insider defectors</w:t>
      </w:r>
      <w:r w:rsidRPr="001E548A">
        <w:rPr>
          <w:sz w:val="20"/>
          <w:szCs w:val="20"/>
        </w:rPr>
        <w:br/>
        <w:t>Evidence: Parsons &amp; Rose and IMMP/Palmer both document former trainer testimony at the Coastal Commission hearing, specifically naming Hargrove and the strategic function of industry insiders in breaking SeaWorld's messaging monopoly.</w:t>
      </w:r>
      <w:r w:rsidRPr="001E548A">
        <w:rPr>
          <w:sz w:val="20"/>
          <w:szCs w:val="20"/>
        </w:rPr>
        <w:br/>
      </w:r>
      <w:r w:rsidRPr="001E548A">
        <w:rPr>
          <w:sz w:val="20"/>
          <w:szCs w:val="20"/>
        </w:rPr>
        <w:lastRenderedPageBreak/>
        <w:t>Confidence: High.</w:t>
      </w:r>
      <w:r w:rsidRPr="001E548A">
        <w:rPr>
          <w:sz w:val="20"/>
          <w:szCs w:val="20"/>
        </w:rPr>
        <w:br/>
        <w:t>Source Tag: Parsons &amp; Rose; IMMP/Palmer.</w:t>
      </w:r>
    </w:p>
    <w:p w14:paraId="431AFB73" w14:textId="77777777" w:rsidR="00934D4B" w:rsidRPr="001E548A" w:rsidRDefault="00934D4B" w:rsidP="00934D4B">
      <w:pPr>
        <w:rPr>
          <w:sz w:val="20"/>
          <w:szCs w:val="20"/>
        </w:rPr>
      </w:pPr>
      <w:r w:rsidRPr="001E548A">
        <w:rPr>
          <w:sz w:val="20"/>
          <w:szCs w:val="20"/>
        </w:rPr>
        <w:t>f. Independent scientist open letter for third-party legitimacy</w:t>
      </w:r>
      <w:r w:rsidRPr="001E548A">
        <w:rPr>
          <w:sz w:val="20"/>
          <w:szCs w:val="20"/>
        </w:rPr>
        <w:br/>
        <w:t>Evidence: IMMP/Palmer names the signatories (Goodall, Marino, Frohoff, Spong, Cousteau) and documents the letter's deployment ahead of the contested Coastal Commission vote as a deliberate legitimacy mechanism.</w:t>
      </w:r>
      <w:r w:rsidRPr="001E548A">
        <w:rPr>
          <w:sz w:val="20"/>
          <w:szCs w:val="20"/>
        </w:rPr>
        <w:br/>
        <w:t>Confidence: High — named individuals and strategic purpose directly documented.</w:t>
      </w:r>
      <w:r w:rsidRPr="001E548A">
        <w:rPr>
          <w:sz w:val="20"/>
          <w:szCs w:val="20"/>
        </w:rPr>
        <w:br/>
        <w:t>Source Tag: IMMP/Palmer.</w:t>
      </w:r>
    </w:p>
    <w:p w14:paraId="7D2D4570" w14:textId="77777777" w:rsidR="00934D4B" w:rsidRPr="001E548A" w:rsidRDefault="00641196" w:rsidP="00934D4B">
      <w:pPr>
        <w:rPr>
          <w:sz w:val="20"/>
          <w:szCs w:val="20"/>
        </w:rPr>
      </w:pPr>
      <w:r>
        <w:rPr>
          <w:sz w:val="20"/>
          <w:szCs w:val="20"/>
        </w:rPr>
        <w:pict w14:anchorId="0314D4FB">
          <v:rect id="_x0000_i1026" style="width:0;height:1.5pt" o:hralign="center" o:hrstd="t" o:hr="t" fillcolor="#a0a0a0" stroked="f"/>
        </w:pict>
      </w:r>
    </w:p>
    <w:p w14:paraId="4CCDD1A6" w14:textId="77777777" w:rsidR="00934D4B" w:rsidRPr="001E548A" w:rsidRDefault="00934D4B" w:rsidP="00934D4B">
      <w:pPr>
        <w:rPr>
          <w:sz w:val="20"/>
          <w:szCs w:val="20"/>
        </w:rPr>
      </w:pPr>
      <w:r w:rsidRPr="001E548A">
        <w:rPr>
          <w:b/>
          <w:bCs/>
          <w:sz w:val="20"/>
          <w:szCs w:val="20"/>
        </w:rPr>
        <w:t>SOURCE-TO-VARIABLE MAPPING</w:t>
      </w:r>
    </w:p>
    <w:p w14:paraId="0EF09FCE" w14:textId="77777777" w:rsidR="00934D4B" w:rsidRPr="001E548A" w:rsidRDefault="00934D4B" w:rsidP="00934D4B">
      <w:pPr>
        <w:rPr>
          <w:sz w:val="20"/>
          <w:szCs w:val="20"/>
        </w:rPr>
      </w:pPr>
      <w:r w:rsidRPr="001E548A">
        <w:rPr>
          <w:sz w:val="20"/>
          <w:szCs w:val="20"/>
        </w:rPr>
        <w:t>Parsons &amp; Rose (2018) — 1, 2, 4, 6, 10, 11, 13, 15e</w:t>
      </w:r>
      <w:r w:rsidRPr="001E548A">
        <w:rPr>
          <w:sz w:val="20"/>
          <w:szCs w:val="20"/>
        </w:rPr>
        <w:br/>
        <w:t>IDA/Chattoo (2016) — 5, 8, 12, 15a, 15c</w:t>
      </w:r>
      <w:r w:rsidRPr="001E548A">
        <w:rPr>
          <w:sz w:val="20"/>
          <w:szCs w:val="20"/>
        </w:rPr>
        <w:br/>
        <w:t>Boissat et al. (2021) — 3, 4, 5, 6, 7, 9, 10, 11, 12, 14, 15b</w:t>
      </w:r>
      <w:r w:rsidRPr="001E548A">
        <w:rPr>
          <w:sz w:val="20"/>
          <w:szCs w:val="20"/>
        </w:rPr>
        <w:br/>
        <w:t>Waller &amp; Iluzada (2020) — 3, 4, 14</w:t>
      </w:r>
      <w:r w:rsidRPr="001E548A">
        <w:rPr>
          <w:sz w:val="20"/>
          <w:szCs w:val="20"/>
        </w:rPr>
        <w:br/>
        <w:t>SEC Press Release 2018-198 — 3 (financial/institutional context)</w:t>
      </w:r>
      <w:r w:rsidRPr="001E548A">
        <w:rPr>
          <w:sz w:val="20"/>
          <w:szCs w:val="20"/>
        </w:rPr>
        <w:br/>
        <w:t>ALDF case record — 2, 10, 13, 15c, 15d</w:t>
      </w:r>
      <w:r w:rsidRPr="001E548A">
        <w:rPr>
          <w:sz w:val="20"/>
          <w:szCs w:val="20"/>
        </w:rPr>
        <w:br/>
        <w:t>IMMP/Palmer (2015) — 2, 8, 13, 15c, 15d, 15e, 15f</w:t>
      </w:r>
      <w:r w:rsidRPr="001E548A">
        <w:rPr>
          <w:sz w:val="20"/>
          <w:szCs w:val="20"/>
        </w:rPr>
        <w:br/>
        <w:t>WDCS/AWI/HSUS/ORC poll July 2012 — 12</w:t>
      </w:r>
      <w:r w:rsidRPr="001E548A">
        <w:rPr>
          <w:sz w:val="20"/>
          <w:szCs w:val="20"/>
        </w:rPr>
        <w:br/>
        <w:t>AWI/WDC/ORC poll May 2014 — 12</w:t>
      </w:r>
    </w:p>
    <w:p w14:paraId="402F54CA" w14:textId="77777777" w:rsidR="00934D4B" w:rsidRPr="001E548A" w:rsidRDefault="00641196" w:rsidP="00934D4B">
      <w:pPr>
        <w:rPr>
          <w:sz w:val="20"/>
          <w:szCs w:val="20"/>
        </w:rPr>
      </w:pPr>
      <w:r>
        <w:rPr>
          <w:sz w:val="20"/>
          <w:szCs w:val="20"/>
        </w:rPr>
        <w:pict w14:anchorId="513B479F">
          <v:rect id="_x0000_i1027" style="width:0;height:1.5pt" o:hralign="center" o:hrstd="t" o:hr="t" fillcolor="#a0a0a0" stroked="f"/>
        </w:pict>
      </w:r>
    </w:p>
    <w:p w14:paraId="72D490A3" w14:textId="77777777" w:rsidR="00934D4B" w:rsidRPr="001E548A" w:rsidRDefault="00934D4B" w:rsidP="00934D4B">
      <w:pPr>
        <w:rPr>
          <w:sz w:val="20"/>
          <w:szCs w:val="20"/>
        </w:rPr>
      </w:pPr>
      <w:r w:rsidRPr="001E548A">
        <w:rPr>
          <w:b/>
          <w:bCs/>
          <w:sz w:val="20"/>
          <w:szCs w:val="20"/>
        </w:rPr>
        <w:t>OBSERVATION</w:t>
      </w:r>
    </w:p>
    <w:p w14:paraId="5FBDB373" w14:textId="77777777" w:rsidR="00934D4B" w:rsidRPr="001E548A" w:rsidRDefault="00934D4B" w:rsidP="00934D4B">
      <w:pPr>
        <w:rPr>
          <w:sz w:val="20"/>
          <w:szCs w:val="20"/>
        </w:rPr>
      </w:pPr>
      <w:r w:rsidRPr="001E548A">
        <w:rPr>
          <w:sz w:val="20"/>
          <w:szCs w:val="20"/>
        </w:rPr>
        <w:t>Evidence is well-distributed across seven primary locked sources with two new sources added for Variable 12. Boissat et al. is the most load-bearing single source, contributing to ten variables, which reflects its status as a comprehensive multi-method academic study (GEM stakeholder interviews, stock-market counterfactual, narrative analysis) rather than a narrowly-focused source. IDA/Chattoo and IMMP/Palmer together anchor the Notable Tactics entries with direct primary-account documentation.</w:t>
      </w:r>
    </w:p>
    <w:p w14:paraId="0B9A34E6" w14:textId="77777777" w:rsidR="00934D4B" w:rsidRPr="001E548A" w:rsidRDefault="00641196" w:rsidP="00934D4B">
      <w:pPr>
        <w:rPr>
          <w:sz w:val="20"/>
          <w:szCs w:val="20"/>
        </w:rPr>
      </w:pPr>
      <w:r>
        <w:rPr>
          <w:sz w:val="20"/>
          <w:szCs w:val="20"/>
        </w:rPr>
        <w:pict w14:anchorId="6A377F92">
          <v:rect id="_x0000_i1028" style="width:0;height:1.5pt" o:hralign="center" o:hrstd="t" o:hr="t" fillcolor="#a0a0a0" stroked="f"/>
        </w:pict>
      </w:r>
    </w:p>
    <w:p w14:paraId="35EC012B" w14:textId="77777777" w:rsidR="00934D4B" w:rsidRPr="001E548A" w:rsidRDefault="00934D4B" w:rsidP="00934D4B">
      <w:pPr>
        <w:rPr>
          <w:sz w:val="20"/>
          <w:szCs w:val="20"/>
        </w:rPr>
      </w:pPr>
      <w:r w:rsidRPr="001E548A">
        <w:rPr>
          <w:b/>
          <w:bCs/>
          <w:sz w:val="20"/>
          <w:szCs w:val="20"/>
        </w:rPr>
        <w:t>CASE-LEVEL SUMMARY</w:t>
      </w:r>
    </w:p>
    <w:p w14:paraId="39F5AF81" w14:textId="77777777" w:rsidR="00934D4B" w:rsidRPr="001E548A" w:rsidRDefault="00934D4B" w:rsidP="00934D4B">
      <w:pPr>
        <w:rPr>
          <w:sz w:val="20"/>
          <w:szCs w:val="20"/>
        </w:rPr>
      </w:pPr>
      <w:r w:rsidRPr="001E548A">
        <w:rPr>
          <w:sz w:val="20"/>
          <w:szCs w:val="20"/>
        </w:rPr>
        <w:t>Variables coded at Insufficient: None.</w:t>
      </w:r>
      <w:r w:rsidRPr="001E548A">
        <w:rPr>
          <w:sz w:val="20"/>
          <w:szCs w:val="20"/>
        </w:rPr>
        <w:br/>
        <w:t>Variables coded at Medium confidence:</w:t>
      </w:r>
      <w:r w:rsidRPr="001E548A">
        <w:rPr>
          <w:sz w:val="20"/>
          <w:szCs w:val="20"/>
        </w:rPr>
        <w:br/>
        <w:t>Variable 9 (Economic disruption) — reasonable inference from what changed and did not change rather than explicit quantification of disruption as a proportion of revenue.</w:t>
      </w:r>
      <w:r w:rsidRPr="001E548A">
        <w:rPr>
          <w:sz w:val="20"/>
          <w:szCs w:val="20"/>
        </w:rPr>
        <w:br/>
        <w:t>Phase 1/4 exception used: None required.</w:t>
      </w:r>
    </w:p>
    <w:p w14:paraId="215ABC62" w14:textId="77777777" w:rsidR="00934D4B" w:rsidRPr="001E548A" w:rsidRDefault="00934D4B" w:rsidP="00934D4B">
      <w:pPr>
        <w:rPr>
          <w:sz w:val="20"/>
          <w:szCs w:val="20"/>
        </w:rPr>
      </w:pPr>
      <w:r w:rsidRPr="001E548A">
        <w:rPr>
          <w:b/>
          <w:bCs/>
          <w:sz w:val="20"/>
          <w:szCs w:val="20"/>
        </w:rPr>
        <w:t>OVERALL CASE CONFIDENCE/QUALITY FLAG</w:t>
      </w:r>
      <w:r w:rsidRPr="001E548A">
        <w:rPr>
          <w:sz w:val="20"/>
          <w:szCs w:val="20"/>
        </w:rPr>
        <w:br/>
        <w:t>High. Thirteen of fifteen substantive entries (including all Notable Tactics) are at High confidence with multi-source corroboration. Variable 9 is Medium for a clearly stated structural reason. Variable 12 is now High confidence following the addition of the July 2012 ORC poll — a pre-campaign nationally representative baseline that directly evidences the public sentiment starting point. Source diversity spans peer-reviewed academic (three sources), official government record (one), legal organisational record (one), and detailed campaign-account sources (two), with strong cross-source corroboration on every variable.</w:t>
      </w:r>
    </w:p>
    <w:p w14:paraId="30F9D13F" w14:textId="77777777" w:rsidR="00934D4B" w:rsidRPr="001E548A" w:rsidRDefault="00641196" w:rsidP="00934D4B">
      <w:pPr>
        <w:rPr>
          <w:sz w:val="20"/>
          <w:szCs w:val="20"/>
        </w:rPr>
      </w:pPr>
      <w:r>
        <w:rPr>
          <w:sz w:val="20"/>
          <w:szCs w:val="20"/>
        </w:rPr>
        <w:pict w14:anchorId="6E25E897">
          <v:rect id="_x0000_i1029" style="width:0;height:1.5pt" o:hralign="center" o:hrstd="t" o:hr="t" fillcolor="#a0a0a0" stroked="f"/>
        </w:pict>
      </w:r>
    </w:p>
    <w:p w14:paraId="7ADD28F6" w14:textId="77777777" w:rsidR="00934D4B" w:rsidRPr="001E548A" w:rsidRDefault="00934D4B" w:rsidP="00934D4B">
      <w:pPr>
        <w:rPr>
          <w:sz w:val="20"/>
          <w:szCs w:val="20"/>
        </w:rPr>
      </w:pPr>
      <w:r w:rsidRPr="001E548A">
        <w:rPr>
          <w:b/>
          <w:bCs/>
          <w:sz w:val="20"/>
          <w:szCs w:val="20"/>
        </w:rPr>
        <w:t>HINDSIGHT NOTES</w:t>
      </w:r>
    </w:p>
    <w:p w14:paraId="117965B9" w14:textId="77777777" w:rsidR="00934D4B" w:rsidRPr="001E548A" w:rsidRDefault="00934D4B" w:rsidP="00934D4B">
      <w:pPr>
        <w:rPr>
          <w:sz w:val="20"/>
          <w:szCs w:val="20"/>
        </w:rPr>
      </w:pPr>
      <w:r w:rsidRPr="001E548A">
        <w:rPr>
          <w:sz w:val="20"/>
          <w:szCs w:val="20"/>
        </w:rPr>
        <w:t>Variable 11 (Scale) — post-window developments (Canada's 2019 ban on captive cetacean breeding, multiple international bans following) would substantially strengthen the "global ripple" element of the scale coding; not used above as these fall outside the window.</w:t>
      </w:r>
      <w:r w:rsidRPr="001E548A">
        <w:rPr>
          <w:sz w:val="20"/>
          <w:szCs w:val="20"/>
        </w:rPr>
        <w:br/>
        <w:t>Variable 13 (Legal/regulatory landscape) — the ORCA Act eventually passed in the US in 2022 (Driftwood Act), confirming the federal legislative pathway ultimately succeeded post-window; not used in coding above.</w:t>
      </w:r>
      <w:r w:rsidRPr="001E548A">
        <w:rPr>
          <w:sz w:val="20"/>
          <w:szCs w:val="20"/>
        </w:rPr>
        <w:br/>
      </w:r>
      <w:r w:rsidRPr="001E548A">
        <w:rPr>
          <w:sz w:val="20"/>
          <w:szCs w:val="20"/>
        </w:rPr>
        <w:lastRenderedPageBreak/>
        <w:t>Variable 12 (Public sentiment) — the May 2014 follow-up poll (opposition 50%, support 21%) documents the mid-campaign sentiment shift driven by Blackfish; not used in the baseline coding above but directly validates the campaign's effectiveness in moving a pre-existing but undecided majority.</w:t>
      </w:r>
    </w:p>
    <w:p w14:paraId="0EA0EDAA" w14:textId="761D41D2" w:rsidR="006D3B98" w:rsidRDefault="006D3B98" w:rsidP="006D3B98">
      <w:pPr>
        <w:pStyle w:val="Heading1"/>
      </w:pPr>
      <w:r>
        <w:t xml:space="preserve">CASE 4: </w:t>
      </w:r>
      <w:r w:rsidR="003879A0">
        <w:t>Mexico Constitutional animal protection reform</w:t>
      </w:r>
    </w:p>
    <w:p w14:paraId="580C7909" w14:textId="77777777" w:rsidR="006A3E7B" w:rsidRPr="001E548A" w:rsidRDefault="006A3E7B" w:rsidP="006A3E7B">
      <w:pPr>
        <w:rPr>
          <w:b/>
          <w:bCs/>
          <w:sz w:val="20"/>
          <w:szCs w:val="20"/>
        </w:rPr>
      </w:pPr>
      <w:r w:rsidRPr="001E548A">
        <w:rPr>
          <w:b/>
          <w:bCs/>
          <w:sz w:val="20"/>
          <w:szCs w:val="20"/>
        </w:rPr>
        <w:t>LIST B — EVIDENCE / CONFIDENCE / SOURCE TAG</w:t>
      </w:r>
    </w:p>
    <w:p w14:paraId="718C2C74" w14:textId="77777777" w:rsidR="006A3E7B" w:rsidRPr="001E548A" w:rsidRDefault="006A3E7B" w:rsidP="00043AF9">
      <w:pPr>
        <w:numPr>
          <w:ilvl w:val="0"/>
          <w:numId w:val="22"/>
        </w:numPr>
        <w:rPr>
          <w:sz w:val="20"/>
          <w:szCs w:val="20"/>
        </w:rPr>
      </w:pPr>
      <w:r w:rsidRPr="001E548A">
        <w:rPr>
          <w:b/>
          <w:bCs/>
          <w:sz w:val="20"/>
          <w:szCs w:val="20"/>
        </w:rPr>
        <w:t>Target type</w:t>
      </w:r>
      <w:r w:rsidRPr="001E548A">
        <w:rPr>
          <w:b/>
          <w:bCs/>
          <w:sz w:val="20"/>
          <w:szCs w:val="20"/>
        </w:rPr>
        <w:br/>
      </w:r>
      <w:r w:rsidRPr="001E548A">
        <w:rPr>
          <w:sz w:val="20"/>
          <w:szCs w:val="20"/>
        </w:rPr>
        <w:t xml:space="preserve"> Evidence: The campaign's object throughout is the federal Constitution and Congress, not any corporation or market actor; the decree itself confirms the target was constitutional/legislative authority.</w:t>
      </w:r>
      <w:r w:rsidRPr="001E548A">
        <w:rPr>
          <w:sz w:val="20"/>
          <w:szCs w:val="20"/>
        </w:rPr>
        <w:br/>
        <w:t xml:space="preserve"> Confidence: High — directly and unambiguously evidenced.</w:t>
      </w:r>
      <w:r w:rsidRPr="001E548A">
        <w:rPr>
          <w:sz w:val="20"/>
          <w:szCs w:val="20"/>
        </w:rPr>
        <w:br/>
        <w:t xml:space="preserve"> Source Tag: #7, #4.</w:t>
      </w:r>
    </w:p>
    <w:p w14:paraId="29924458" w14:textId="77777777" w:rsidR="006A3E7B" w:rsidRPr="001E548A" w:rsidRDefault="006A3E7B" w:rsidP="00043AF9">
      <w:pPr>
        <w:numPr>
          <w:ilvl w:val="0"/>
          <w:numId w:val="22"/>
        </w:numPr>
        <w:rPr>
          <w:sz w:val="20"/>
          <w:szCs w:val="20"/>
        </w:rPr>
      </w:pPr>
      <w:r w:rsidRPr="001E548A">
        <w:rPr>
          <w:b/>
          <w:bCs/>
          <w:sz w:val="20"/>
          <w:szCs w:val="20"/>
        </w:rPr>
        <w:t>Concentration of decision-making power</w:t>
      </w:r>
      <w:r w:rsidRPr="001E548A">
        <w:rPr>
          <w:b/>
          <w:bCs/>
          <w:sz w:val="20"/>
          <w:szCs w:val="20"/>
        </w:rPr>
        <w:br/>
      </w:r>
      <w:r w:rsidRPr="001E548A">
        <w:rPr>
          <w:sz w:val="20"/>
          <w:szCs w:val="20"/>
        </w:rPr>
        <w:t xml:space="preserve"> Evidence: Passage required only Chamber of Deputies, Senate, and a majority of 32 state congresses — a small, defined set of institutional veto points compared to a diffuse public-behaviour-change campaign.</w:t>
      </w:r>
      <w:r w:rsidRPr="001E548A">
        <w:rPr>
          <w:sz w:val="20"/>
          <w:szCs w:val="20"/>
        </w:rPr>
        <w:br/>
        <w:t xml:space="preserve"> Confidence: High — directly documented institutional pathway.</w:t>
      </w:r>
      <w:r w:rsidRPr="001E548A">
        <w:rPr>
          <w:sz w:val="20"/>
          <w:szCs w:val="20"/>
        </w:rPr>
        <w:br/>
        <w:t xml:space="preserve"> Source Tag: #2, #4, #8.</w:t>
      </w:r>
    </w:p>
    <w:p w14:paraId="6B54B484" w14:textId="77777777" w:rsidR="006A3E7B" w:rsidRPr="001E548A" w:rsidRDefault="006A3E7B" w:rsidP="00043AF9">
      <w:pPr>
        <w:numPr>
          <w:ilvl w:val="0"/>
          <w:numId w:val="22"/>
        </w:numPr>
        <w:rPr>
          <w:sz w:val="20"/>
          <w:szCs w:val="20"/>
        </w:rPr>
      </w:pPr>
      <w:r w:rsidRPr="001E548A">
        <w:rPr>
          <w:b/>
          <w:bCs/>
          <w:sz w:val="20"/>
          <w:szCs w:val="20"/>
        </w:rPr>
        <w:t>Strength of opposition</w:t>
      </w:r>
      <w:r w:rsidRPr="001E548A">
        <w:rPr>
          <w:b/>
          <w:bCs/>
          <w:sz w:val="20"/>
          <w:szCs w:val="20"/>
        </w:rPr>
        <w:br/>
      </w:r>
      <w:r w:rsidRPr="001E548A">
        <w:rPr>
          <w:sz w:val="20"/>
          <w:szCs w:val="20"/>
        </w:rPr>
        <w:t xml:space="preserve"> Evidence: No locked source documents any organised opposition during the legislative passage itself; all recorded votes were unanimous or near-unanimous at every formal stage.</w:t>
      </w:r>
      <w:r w:rsidRPr="001E548A">
        <w:rPr>
          <w:sz w:val="20"/>
          <w:szCs w:val="20"/>
        </w:rPr>
        <w:br/>
        <w:t xml:space="preserve"> Confidence: Medium — strong direct evidence of absence during passage, but this is an absence-based inference rather than positive confirmation that no opposition existed informally.</w:t>
      </w:r>
      <w:r w:rsidRPr="001E548A">
        <w:rPr>
          <w:sz w:val="20"/>
          <w:szCs w:val="20"/>
        </w:rPr>
        <w:br/>
        <w:t xml:space="preserve"> Source Tag: #5, #4.</w:t>
      </w:r>
    </w:p>
    <w:p w14:paraId="2B9E0FE9" w14:textId="77777777" w:rsidR="006A3E7B" w:rsidRPr="001E548A" w:rsidRDefault="006A3E7B" w:rsidP="00043AF9">
      <w:pPr>
        <w:numPr>
          <w:ilvl w:val="0"/>
          <w:numId w:val="22"/>
        </w:numPr>
        <w:rPr>
          <w:sz w:val="20"/>
          <w:szCs w:val="20"/>
        </w:rPr>
      </w:pPr>
      <w:r w:rsidRPr="001E548A">
        <w:rPr>
          <w:b/>
          <w:bCs/>
          <w:sz w:val="20"/>
          <w:szCs w:val="20"/>
        </w:rPr>
        <w:t>Type of opposition</w:t>
      </w:r>
      <w:r w:rsidRPr="001E548A">
        <w:rPr>
          <w:b/>
          <w:bCs/>
          <w:sz w:val="20"/>
          <w:szCs w:val="20"/>
        </w:rPr>
        <w:br/>
      </w:r>
      <w:r w:rsidRPr="001E548A">
        <w:rPr>
          <w:sz w:val="20"/>
          <w:szCs w:val="20"/>
        </w:rPr>
        <w:t xml:space="preserve"> Evidence: Post-passage, Igualdad Animal's director directly attributes the stalling of over 100 secondary-legislation initiatives to suspected pressure from the meat industry — a form of institutional/political obstruction rather than public counter-campaigning.</w:t>
      </w:r>
      <w:r w:rsidRPr="001E548A">
        <w:rPr>
          <w:sz w:val="20"/>
          <w:szCs w:val="20"/>
        </w:rPr>
        <w:br/>
        <w:t xml:space="preserve"> Confidence: High — direct, attributed, on-record statement from a named campaign actor in independent press.</w:t>
      </w:r>
      <w:r w:rsidRPr="001E548A">
        <w:rPr>
          <w:sz w:val="20"/>
          <w:szCs w:val="20"/>
        </w:rPr>
        <w:br/>
        <w:t xml:space="preserve"> Source Tag: #6.</w:t>
      </w:r>
    </w:p>
    <w:p w14:paraId="69D51D1B" w14:textId="77777777" w:rsidR="006A3E7B" w:rsidRPr="001E548A" w:rsidRDefault="006A3E7B" w:rsidP="00043AF9">
      <w:pPr>
        <w:numPr>
          <w:ilvl w:val="0"/>
          <w:numId w:val="22"/>
        </w:numPr>
        <w:rPr>
          <w:sz w:val="20"/>
          <w:szCs w:val="20"/>
        </w:rPr>
      </w:pPr>
      <w:r w:rsidRPr="001E548A">
        <w:rPr>
          <w:b/>
          <w:bCs/>
          <w:sz w:val="20"/>
          <w:szCs w:val="20"/>
        </w:rPr>
        <w:t>Visibility of harm to the public</w:t>
      </w:r>
      <w:r w:rsidRPr="001E548A">
        <w:rPr>
          <w:b/>
          <w:bCs/>
          <w:sz w:val="20"/>
          <w:szCs w:val="20"/>
        </w:rPr>
        <w:br/>
      </w:r>
      <w:r w:rsidRPr="001E548A">
        <w:rPr>
          <w:sz w:val="20"/>
          <w:szCs w:val="20"/>
        </w:rPr>
        <w:t xml:space="preserve"> Evidence: Legislative debate cited a statistic that Mexico ranks third globally and first in Latin America for animal mistreatment, and that seven in ten domestic animals are victims of maltreatment — indicating the underlying harm was already well-documented and publicly legible going into the campaign.</w:t>
      </w:r>
      <w:r w:rsidRPr="001E548A">
        <w:rPr>
          <w:sz w:val="20"/>
          <w:szCs w:val="20"/>
        </w:rPr>
        <w:br/>
        <w:t xml:space="preserve"> Confidence: Medium — the statistic is cited within legislative debate coverage rather than from a dedicated pre-campaign survey source.</w:t>
      </w:r>
      <w:r w:rsidRPr="001E548A">
        <w:rPr>
          <w:sz w:val="20"/>
          <w:szCs w:val="20"/>
        </w:rPr>
        <w:br/>
        <w:t xml:space="preserve"> Source Tag: #5.</w:t>
      </w:r>
    </w:p>
    <w:p w14:paraId="2FCA8F3E" w14:textId="77777777" w:rsidR="006A3E7B" w:rsidRPr="001E548A" w:rsidRDefault="006A3E7B" w:rsidP="00043AF9">
      <w:pPr>
        <w:numPr>
          <w:ilvl w:val="0"/>
          <w:numId w:val="22"/>
        </w:numPr>
        <w:rPr>
          <w:sz w:val="20"/>
          <w:szCs w:val="20"/>
        </w:rPr>
      </w:pPr>
      <w:r w:rsidRPr="001E548A">
        <w:rPr>
          <w:b/>
          <w:bCs/>
          <w:sz w:val="20"/>
          <w:szCs w:val="20"/>
        </w:rPr>
        <w:t>Degree of behaviour change required</w:t>
      </w:r>
      <w:r w:rsidRPr="001E548A">
        <w:rPr>
          <w:b/>
          <w:bCs/>
          <w:sz w:val="20"/>
          <w:szCs w:val="20"/>
        </w:rPr>
        <w:br/>
      </w:r>
      <w:r w:rsidRPr="001E548A">
        <w:rPr>
          <w:sz w:val="20"/>
          <w:szCs w:val="20"/>
        </w:rPr>
        <w:t xml:space="preserve"> Evidence: The reform itself only establishes principles and federal legislative authority; the decree's own transitory articles defer all substantive operational requirements (on breeding, slaughter, wildlife use) to a future General Law not yet passed.</w:t>
      </w:r>
      <w:r w:rsidRPr="001E548A">
        <w:rPr>
          <w:sz w:val="20"/>
          <w:szCs w:val="20"/>
        </w:rPr>
        <w:br/>
        <w:t xml:space="preserve"> Confidence: High — directly stated in the decree's transitory articles.</w:t>
      </w:r>
      <w:r w:rsidRPr="001E548A">
        <w:rPr>
          <w:sz w:val="20"/>
          <w:szCs w:val="20"/>
        </w:rPr>
        <w:br/>
        <w:t xml:space="preserve"> Source Tag: #7.</w:t>
      </w:r>
    </w:p>
    <w:p w14:paraId="08E60FB9" w14:textId="77777777" w:rsidR="006A3E7B" w:rsidRPr="001E548A" w:rsidRDefault="006A3E7B" w:rsidP="00043AF9">
      <w:pPr>
        <w:numPr>
          <w:ilvl w:val="0"/>
          <w:numId w:val="22"/>
        </w:numPr>
        <w:rPr>
          <w:sz w:val="20"/>
          <w:szCs w:val="20"/>
        </w:rPr>
      </w:pPr>
      <w:r w:rsidRPr="001E548A">
        <w:rPr>
          <w:b/>
          <w:bCs/>
          <w:sz w:val="20"/>
          <w:szCs w:val="20"/>
        </w:rPr>
        <w:t>Role of policy vs market vs cultural shift</w:t>
      </w:r>
      <w:r w:rsidRPr="001E548A">
        <w:rPr>
          <w:b/>
          <w:bCs/>
          <w:sz w:val="20"/>
          <w:szCs w:val="20"/>
        </w:rPr>
        <w:br/>
      </w:r>
      <w:r w:rsidRPr="001E548A">
        <w:rPr>
          <w:sz w:val="20"/>
          <w:szCs w:val="20"/>
        </w:rPr>
        <w:t xml:space="preserve"> Evidence: The mechanism is explicitly constitutional/legal; multiple sources (legislators' floor statements, NGO commentary) simultaneously frame the reform as a "paradigm shift" in how animals are understood, indicating a deliberate secondary cultural-narrative objective alongside the legal mechanism.</w:t>
      </w:r>
      <w:r w:rsidRPr="001E548A">
        <w:rPr>
          <w:sz w:val="20"/>
          <w:szCs w:val="20"/>
        </w:rPr>
        <w:br/>
        <w:t xml:space="preserve"> Confidence: High — both mechanisms directly and explicitly stated across sources.</w:t>
      </w:r>
      <w:r w:rsidRPr="001E548A">
        <w:rPr>
          <w:sz w:val="20"/>
          <w:szCs w:val="20"/>
        </w:rPr>
        <w:br/>
        <w:t xml:space="preserve"> Source Tag: #5, #2, #8.</w:t>
      </w:r>
    </w:p>
    <w:p w14:paraId="7CF5E9A5" w14:textId="77777777" w:rsidR="006A3E7B" w:rsidRPr="001E548A" w:rsidRDefault="006A3E7B" w:rsidP="00043AF9">
      <w:pPr>
        <w:numPr>
          <w:ilvl w:val="0"/>
          <w:numId w:val="22"/>
        </w:numPr>
        <w:rPr>
          <w:sz w:val="20"/>
          <w:szCs w:val="20"/>
        </w:rPr>
      </w:pPr>
      <w:r w:rsidRPr="001E548A">
        <w:rPr>
          <w:b/>
          <w:bCs/>
          <w:sz w:val="20"/>
          <w:szCs w:val="20"/>
        </w:rPr>
        <w:lastRenderedPageBreak/>
        <w:t>Coalition size/type/non-obvious allies</w:t>
      </w:r>
      <w:r w:rsidRPr="001E548A">
        <w:rPr>
          <w:b/>
          <w:bCs/>
          <w:sz w:val="20"/>
          <w:szCs w:val="20"/>
        </w:rPr>
        <w:br/>
      </w:r>
      <w:r w:rsidRPr="001E548A">
        <w:rPr>
          <w:sz w:val="20"/>
          <w:szCs w:val="20"/>
        </w:rPr>
        <w:t xml:space="preserve"> Evidence: Three named NGOs (Igualdad Animal, HSI/Mexico, Movimiento Conciencia) are documented as jointly advocating; floor debate explicitly records supportive statements from Morena, PAN, MC, PRD, and PT legislators — an unusually broad cross-party alliance.</w:t>
      </w:r>
      <w:r w:rsidRPr="001E548A">
        <w:rPr>
          <w:sz w:val="20"/>
          <w:szCs w:val="20"/>
        </w:rPr>
        <w:br/>
        <w:t xml:space="preserve"> Confidence: High — directly documented coalition composition on both the civil-society and legislative sides.</w:t>
      </w:r>
      <w:r w:rsidRPr="001E548A">
        <w:rPr>
          <w:sz w:val="20"/>
          <w:szCs w:val="20"/>
        </w:rPr>
        <w:br/>
        <w:t xml:space="preserve"> Source Tag: #2, #3, #5.</w:t>
      </w:r>
    </w:p>
    <w:p w14:paraId="01115D0D" w14:textId="77777777" w:rsidR="006A3E7B" w:rsidRPr="001E548A" w:rsidRDefault="006A3E7B" w:rsidP="00043AF9">
      <w:pPr>
        <w:numPr>
          <w:ilvl w:val="0"/>
          <w:numId w:val="22"/>
        </w:numPr>
        <w:rPr>
          <w:sz w:val="20"/>
          <w:szCs w:val="20"/>
        </w:rPr>
      </w:pPr>
      <w:r w:rsidRPr="001E548A">
        <w:rPr>
          <w:b/>
          <w:bCs/>
          <w:sz w:val="20"/>
          <w:szCs w:val="20"/>
        </w:rPr>
        <w:t>Economic disruption required</w:t>
      </w:r>
      <w:r w:rsidRPr="001E548A">
        <w:rPr>
          <w:b/>
          <w:bCs/>
          <w:sz w:val="20"/>
          <w:szCs w:val="20"/>
        </w:rPr>
        <w:br/>
      </w:r>
      <w:r w:rsidRPr="001E548A">
        <w:rPr>
          <w:sz w:val="20"/>
          <w:szCs w:val="20"/>
        </w:rPr>
        <w:t xml:space="preserve"> Evidence: The constitutional reform itself imposes no direct cost obligation (the decree's third transitory article explicitly states no additional budget is authorised); anticipated economic disruption for industrial agriculture is discussed only prospectively, contingent on the not-yet-passed General Law.</w:t>
      </w:r>
      <w:r w:rsidRPr="001E548A">
        <w:rPr>
          <w:sz w:val="20"/>
          <w:szCs w:val="20"/>
        </w:rPr>
        <w:br/>
        <w:t xml:space="preserve"> Confidence: High — directly stated absence of fiscal/economic obligation in the decree text itself.</w:t>
      </w:r>
      <w:r w:rsidRPr="001E548A">
        <w:rPr>
          <w:sz w:val="20"/>
          <w:szCs w:val="20"/>
        </w:rPr>
        <w:br/>
        <w:t xml:space="preserve"> Source Tag: #7.</w:t>
      </w:r>
    </w:p>
    <w:p w14:paraId="122B63D0" w14:textId="77777777" w:rsidR="006A3E7B" w:rsidRPr="001E548A" w:rsidRDefault="006A3E7B" w:rsidP="00043AF9">
      <w:pPr>
        <w:numPr>
          <w:ilvl w:val="0"/>
          <w:numId w:val="22"/>
        </w:numPr>
        <w:rPr>
          <w:sz w:val="20"/>
          <w:szCs w:val="20"/>
        </w:rPr>
      </w:pPr>
      <w:r w:rsidRPr="001E548A">
        <w:rPr>
          <w:b/>
          <w:bCs/>
          <w:sz w:val="20"/>
          <w:szCs w:val="20"/>
        </w:rPr>
        <w:t>Speed of change achieved</w:t>
      </w:r>
      <w:r w:rsidRPr="001E548A">
        <w:rPr>
          <w:b/>
          <w:bCs/>
          <w:sz w:val="20"/>
          <w:szCs w:val="20"/>
        </w:rPr>
        <w:br/>
      </w:r>
      <w:r w:rsidRPr="001E548A">
        <w:rPr>
          <w:sz w:val="20"/>
          <w:szCs w:val="20"/>
        </w:rPr>
        <w:t xml:space="preserve"> Evidence: Formal proposal dates to December 2021; the final compressed sequence — February 2024 federal initiative, August 2024 committee approval, November 2024 unanimous votes in both chambers, December 2024 entry into force — shows a fast final push after years of groundwork.</w:t>
      </w:r>
      <w:r w:rsidRPr="001E548A">
        <w:rPr>
          <w:sz w:val="20"/>
          <w:szCs w:val="20"/>
        </w:rPr>
        <w:br/>
        <w:t xml:space="preserve"> Confidence: High — precisely dated at every step across multiple sources.</w:t>
      </w:r>
      <w:r w:rsidRPr="001E548A">
        <w:rPr>
          <w:sz w:val="20"/>
          <w:szCs w:val="20"/>
        </w:rPr>
        <w:br/>
        <w:t xml:space="preserve"> Source Tag: #1, #2, #4, #8.</w:t>
      </w:r>
    </w:p>
    <w:p w14:paraId="25A0DCDC" w14:textId="77777777" w:rsidR="006A3E7B" w:rsidRPr="001E548A" w:rsidRDefault="006A3E7B" w:rsidP="00043AF9">
      <w:pPr>
        <w:numPr>
          <w:ilvl w:val="0"/>
          <w:numId w:val="22"/>
        </w:numPr>
        <w:rPr>
          <w:sz w:val="20"/>
          <w:szCs w:val="20"/>
        </w:rPr>
      </w:pPr>
      <w:r w:rsidRPr="001E548A">
        <w:rPr>
          <w:b/>
          <w:bCs/>
          <w:sz w:val="20"/>
          <w:szCs w:val="20"/>
        </w:rPr>
        <w:t>Scale of change achieved</w:t>
      </w:r>
      <w:r w:rsidRPr="001E548A">
        <w:rPr>
          <w:b/>
          <w:bCs/>
          <w:sz w:val="20"/>
          <w:szCs w:val="20"/>
        </w:rPr>
        <w:br/>
      </w:r>
      <w:r w:rsidRPr="001E548A">
        <w:rPr>
          <w:sz w:val="20"/>
          <w:szCs w:val="20"/>
        </w:rPr>
        <w:t xml:space="preserve"> Evidence: The reform alters the federal Constitution itself, Mexico's highest legal instrument; academic commentary explicitly situates Mexico alongside only a small number of other countries with constitutional animal-protection provisions, while also noting the practical effect remains contingent on the pending General Law.</w:t>
      </w:r>
      <w:r w:rsidRPr="001E548A">
        <w:rPr>
          <w:sz w:val="20"/>
          <w:szCs w:val="20"/>
        </w:rPr>
        <w:br/>
        <w:t xml:space="preserve"> Confidence: High — directly evidenced for both the formal scale and its current practical limits.</w:t>
      </w:r>
      <w:r w:rsidRPr="001E548A">
        <w:rPr>
          <w:sz w:val="20"/>
          <w:szCs w:val="20"/>
        </w:rPr>
        <w:br/>
        <w:t xml:space="preserve"> Source Tag: #8, #7, #6.</w:t>
      </w:r>
    </w:p>
    <w:p w14:paraId="2745AF0A" w14:textId="727D15CD" w:rsidR="006A3E7B" w:rsidRPr="001E548A" w:rsidRDefault="006A3E7B" w:rsidP="00043AF9">
      <w:pPr>
        <w:numPr>
          <w:ilvl w:val="0"/>
          <w:numId w:val="22"/>
        </w:numPr>
        <w:rPr>
          <w:sz w:val="20"/>
          <w:szCs w:val="20"/>
        </w:rPr>
      </w:pPr>
      <w:r w:rsidRPr="001E548A">
        <w:rPr>
          <w:b/>
          <w:bCs/>
          <w:sz w:val="20"/>
          <w:szCs w:val="20"/>
        </w:rPr>
        <w:t>Public sentiment starting point</w:t>
      </w:r>
      <w:r w:rsidRPr="001E548A">
        <w:rPr>
          <w:b/>
          <w:bCs/>
          <w:sz w:val="20"/>
          <w:szCs w:val="20"/>
        </w:rPr>
        <w:br/>
      </w:r>
      <w:r w:rsidR="00F47781" w:rsidRPr="001E548A">
        <w:rPr>
          <w:sz w:val="20"/>
          <w:szCs w:val="20"/>
        </w:rPr>
        <w:t>Evidence: Miranda-de la Lama et al. (</w:t>
      </w:r>
      <w:r w:rsidR="00F47781" w:rsidRPr="001E548A">
        <w:rPr>
          <w:i/>
          <w:iCs/>
          <w:sz w:val="20"/>
          <w:szCs w:val="20"/>
        </w:rPr>
        <w:t>Meat Science</w:t>
      </w:r>
      <w:r w:rsidR="00F47781" w:rsidRPr="001E548A">
        <w:rPr>
          <w:sz w:val="20"/>
          <w:szCs w:val="20"/>
        </w:rPr>
        <w:t>, Vol. 125, 2017, pp. 106–113) surveyed Mexican consumers pre-campaign, concluding they show high interest in farm animal welfare, high empathy for animal needs, and majority demand for more regulation — published four years before the December 2021 campaign window. A Parametria survey (referenced in Humane World for Animals, January 2023) found 99% of Mexicans opposed dogfighting and 86% rejected animals in entertainment — indicating strong pre-existing anti-cruelty sentiment in the general public before the constitutional campaign escalated. Estévez-Moreno et al. (</w:t>
      </w:r>
      <w:r w:rsidR="00F47781" w:rsidRPr="001E548A">
        <w:rPr>
          <w:i/>
          <w:iCs/>
          <w:sz w:val="20"/>
          <w:szCs w:val="20"/>
        </w:rPr>
        <w:t>Meat Science</w:t>
      </w:r>
      <w:r w:rsidR="00F47781" w:rsidRPr="001E548A">
        <w:rPr>
          <w:sz w:val="20"/>
          <w:szCs w:val="20"/>
        </w:rPr>
        <w:t>, Vol. 173, 2021) — a cross-cultural Mexico/Spain study published before the window — further corroborates that Mexican meat consumers considered animal welfare important, with growing concern across demographic groups.</w:t>
      </w:r>
      <w:r w:rsidR="00F47781" w:rsidRPr="001E548A">
        <w:rPr>
          <w:sz w:val="20"/>
          <w:szCs w:val="20"/>
        </w:rPr>
        <w:br/>
        <w:t>Confidence: Medium-High — three independent pre-campaign sources converge on a latently sympathetic starting point; Miranda-de la Lama and Estévez-Moreno are peer-reviewed and Mexico-specific; Parametria figure is reported secondhand via Humane World blog rather than primary source, limiting full confidence on that figure specifically.</w:t>
      </w:r>
      <w:r w:rsidR="00F47781" w:rsidRPr="001E548A">
        <w:rPr>
          <w:sz w:val="20"/>
          <w:szCs w:val="20"/>
        </w:rPr>
        <w:br/>
        <w:t>Source Tag: Miranda-de la Lama et al. 2017; Estévez-Moreno et al. 2021; Parametria survey (via Humane World for Animals, January 2023).</w:t>
      </w:r>
    </w:p>
    <w:p w14:paraId="3758DCED" w14:textId="77777777" w:rsidR="006A3E7B" w:rsidRPr="001E548A" w:rsidRDefault="006A3E7B" w:rsidP="00043AF9">
      <w:pPr>
        <w:numPr>
          <w:ilvl w:val="0"/>
          <w:numId w:val="22"/>
        </w:numPr>
        <w:rPr>
          <w:sz w:val="20"/>
          <w:szCs w:val="20"/>
        </w:rPr>
      </w:pPr>
      <w:r w:rsidRPr="001E548A">
        <w:rPr>
          <w:b/>
          <w:bCs/>
          <w:sz w:val="20"/>
          <w:szCs w:val="20"/>
        </w:rPr>
        <w:t>Legal/regulatory landscape</w:t>
      </w:r>
      <w:r w:rsidRPr="001E548A">
        <w:rPr>
          <w:b/>
          <w:bCs/>
          <w:sz w:val="20"/>
          <w:szCs w:val="20"/>
        </w:rPr>
        <w:br/>
      </w:r>
      <w:r w:rsidRPr="001E548A">
        <w:rPr>
          <w:sz w:val="20"/>
          <w:szCs w:val="20"/>
        </w:rPr>
        <w:t xml:space="preserve"> Evidence: Academic commentary cites a 2018 Supreme Court ruling (Amparo en revisión 163/2018) explicitly holding that the Constitution contained no mandate for animal protection beyond wildlife under the environmental-rights clause — directly establishing the prior legal landscape that the reform was designed to close.</w:t>
      </w:r>
      <w:r w:rsidRPr="001E548A">
        <w:rPr>
          <w:sz w:val="20"/>
          <w:szCs w:val="20"/>
        </w:rPr>
        <w:br/>
        <w:t xml:space="preserve"> Confidence: High — directly cited judicial precedent in a peer-reviewed academic source.</w:t>
      </w:r>
      <w:r w:rsidRPr="001E548A">
        <w:rPr>
          <w:sz w:val="20"/>
          <w:szCs w:val="20"/>
        </w:rPr>
        <w:br/>
        <w:t xml:space="preserve"> Source Tag: #8, #9.</w:t>
      </w:r>
    </w:p>
    <w:p w14:paraId="67203A76" w14:textId="77777777" w:rsidR="006A3E7B" w:rsidRPr="001E548A" w:rsidRDefault="006A3E7B" w:rsidP="00043AF9">
      <w:pPr>
        <w:numPr>
          <w:ilvl w:val="0"/>
          <w:numId w:val="22"/>
        </w:numPr>
        <w:rPr>
          <w:sz w:val="20"/>
          <w:szCs w:val="20"/>
        </w:rPr>
      </w:pPr>
      <w:r w:rsidRPr="001E548A">
        <w:rPr>
          <w:b/>
          <w:bCs/>
          <w:sz w:val="20"/>
          <w:szCs w:val="20"/>
        </w:rPr>
        <w:t>Narrative dominance</w:t>
      </w:r>
      <w:r w:rsidRPr="001E548A">
        <w:rPr>
          <w:b/>
          <w:bCs/>
          <w:sz w:val="20"/>
          <w:szCs w:val="20"/>
        </w:rPr>
        <w:br/>
      </w:r>
      <w:r w:rsidRPr="001E548A">
        <w:rPr>
          <w:sz w:val="20"/>
          <w:szCs w:val="20"/>
        </w:rPr>
        <w:t xml:space="preserve"> Evidence: No locked source documents any contested counter-narrative; the unanimous or near-unanimous vote at every single legislative stage (Chamber of Deputies 450-0, Senate 117-0, per cross-referenced reporting) is itself strong indirect evidence that no rival narrative had meaningful institutional purchase by the time of the vote.</w:t>
      </w:r>
      <w:r w:rsidRPr="001E548A">
        <w:rPr>
          <w:sz w:val="20"/>
          <w:szCs w:val="20"/>
        </w:rPr>
        <w:br/>
      </w:r>
      <w:r w:rsidRPr="001E548A">
        <w:rPr>
          <w:sz w:val="20"/>
          <w:szCs w:val="20"/>
        </w:rPr>
        <w:lastRenderedPageBreak/>
        <w:t xml:space="preserve"> Confidence: Medium — strong for the legislative moment itself; the case file does not capture whether a counter-narrative existed earlier (e.g. among livestock producers) that simply failed to surface in formal opposition.</w:t>
      </w:r>
      <w:r w:rsidRPr="001E548A">
        <w:rPr>
          <w:sz w:val="20"/>
          <w:szCs w:val="20"/>
        </w:rPr>
        <w:br/>
        <w:t xml:space="preserve"> Source Tag: #5, #4.</w:t>
      </w:r>
    </w:p>
    <w:p w14:paraId="5A6FB89A" w14:textId="77777777" w:rsidR="006A3E7B" w:rsidRPr="001E548A" w:rsidRDefault="006A3E7B" w:rsidP="00043AF9">
      <w:pPr>
        <w:numPr>
          <w:ilvl w:val="0"/>
          <w:numId w:val="22"/>
        </w:numPr>
        <w:rPr>
          <w:sz w:val="20"/>
          <w:szCs w:val="20"/>
        </w:rPr>
      </w:pPr>
      <w:r w:rsidRPr="001E548A">
        <w:rPr>
          <w:b/>
          <w:bCs/>
          <w:sz w:val="20"/>
          <w:szCs w:val="20"/>
        </w:rPr>
        <w:t>Notable Tactics</w:t>
      </w:r>
      <w:r w:rsidRPr="001E548A">
        <w:rPr>
          <w:b/>
          <w:bCs/>
          <w:sz w:val="20"/>
          <w:szCs w:val="20"/>
        </w:rPr>
        <w:br/>
      </w:r>
      <w:r w:rsidRPr="001E548A">
        <w:rPr>
          <w:sz w:val="20"/>
          <w:szCs w:val="20"/>
        </w:rPr>
        <w:t xml:space="preserve"> a. Multi-year sustained petition campaign.</w:t>
      </w:r>
      <w:r w:rsidRPr="001E548A">
        <w:rPr>
          <w:sz w:val="20"/>
          <w:szCs w:val="20"/>
        </w:rPr>
        <w:br/>
        <w:t xml:space="preserve"> Evidence: #1 documents 140,000+ signatures gathered continuously since 2021.</w:t>
      </w:r>
      <w:r w:rsidRPr="001E548A">
        <w:rPr>
          <w:sz w:val="20"/>
          <w:szCs w:val="20"/>
        </w:rPr>
        <w:br/>
        <w:t xml:space="preserve"> Confidence: High. Source Tag: #1.</w:t>
      </w:r>
      <w:r w:rsidRPr="001E548A">
        <w:rPr>
          <w:sz w:val="20"/>
          <w:szCs w:val="20"/>
        </w:rPr>
        <w:br/>
        <w:t xml:space="preserve"> b. Sub-national legislator engagement (state forums).</w:t>
      </w:r>
      <w:r w:rsidRPr="001E548A">
        <w:rPr>
          <w:sz w:val="20"/>
          <w:szCs w:val="20"/>
        </w:rPr>
        <w:br/>
        <w:t xml:space="preserve"> Evidence: #1 documents direct engagement at the Guerrero State Forum specifically to build provincial buy-in.</w:t>
      </w:r>
      <w:r w:rsidRPr="001E548A">
        <w:rPr>
          <w:sz w:val="20"/>
          <w:szCs w:val="20"/>
        </w:rPr>
        <w:br/>
        <w:t xml:space="preserve"> Confidence: High. Source Tag: #1.</w:t>
      </w:r>
      <w:r w:rsidRPr="001E548A">
        <w:rPr>
          <w:sz w:val="20"/>
          <w:szCs w:val="20"/>
        </w:rPr>
        <w:br/>
        <w:t xml:space="preserve"> c. Timed public demonstration actions.</w:t>
      </w:r>
      <w:r w:rsidRPr="001E548A">
        <w:rPr>
          <w:sz w:val="20"/>
          <w:szCs w:val="20"/>
        </w:rPr>
        <w:br/>
        <w:t xml:space="preserve"> Evidence: #1 documents advocates gathering at national monuments in Mexico City in September 2024, concurrent with final legislative push.</w:t>
      </w:r>
      <w:r w:rsidRPr="001E548A">
        <w:rPr>
          <w:sz w:val="20"/>
          <w:szCs w:val="20"/>
        </w:rPr>
        <w:br/>
        <w:t xml:space="preserve"> Confidence: High. Source Tag: #1.</w:t>
      </w:r>
      <w:r w:rsidRPr="001E548A">
        <w:rPr>
          <w:sz w:val="20"/>
          <w:szCs w:val="20"/>
        </w:rPr>
        <w:br/>
        <w:t xml:space="preserve"> d. Leveraging a presidential transition as a tactical lever.</w:t>
      </w:r>
      <w:r w:rsidRPr="001E548A">
        <w:rPr>
          <w:sz w:val="20"/>
          <w:szCs w:val="20"/>
        </w:rPr>
        <w:br/>
        <w:t xml:space="preserve"> Evidence: #2 and #3 directly document Sheinbaum's first-day commitment to prioritise the bill as one of "100 top commitments."</w:t>
      </w:r>
      <w:r w:rsidRPr="001E548A">
        <w:rPr>
          <w:sz w:val="20"/>
          <w:szCs w:val="20"/>
        </w:rPr>
        <w:br/>
        <w:t xml:space="preserve"> Confidence: High. Source Tag: #2, #3.</w:t>
      </w:r>
      <w:r w:rsidRPr="001E548A">
        <w:rPr>
          <w:sz w:val="20"/>
          <w:szCs w:val="20"/>
        </w:rPr>
        <w:br/>
        <w:t xml:space="preserve"> e. Joint multi-NGO legislative authorship.</w:t>
      </w:r>
      <w:r w:rsidRPr="001E548A">
        <w:rPr>
          <w:sz w:val="20"/>
          <w:szCs w:val="20"/>
        </w:rPr>
        <w:br/>
        <w:t xml:space="preserve"> Evidence: #2 and #3 both directly name the same three-NGO coalition as joint advocates of a single unified proposal.</w:t>
      </w:r>
      <w:r w:rsidRPr="001E548A">
        <w:rPr>
          <w:sz w:val="20"/>
          <w:szCs w:val="20"/>
        </w:rPr>
        <w:br/>
        <w:t xml:space="preserve"> Confidence: High. Source Tag: #2, #3.</w:t>
      </w:r>
    </w:p>
    <w:p w14:paraId="0B09CFD4" w14:textId="77777777" w:rsidR="006A3E7B" w:rsidRPr="001E548A" w:rsidRDefault="00641196" w:rsidP="006A3E7B">
      <w:pPr>
        <w:rPr>
          <w:sz w:val="20"/>
          <w:szCs w:val="20"/>
        </w:rPr>
      </w:pPr>
      <w:r>
        <w:rPr>
          <w:sz w:val="20"/>
          <w:szCs w:val="20"/>
        </w:rPr>
        <w:pict w14:anchorId="1E5FB0C0">
          <v:rect id="_x0000_i1030" style="width:0;height:1.5pt" o:hralign="center" o:hrstd="t" o:hr="t" fillcolor="#a0a0a0" stroked="f"/>
        </w:pict>
      </w:r>
    </w:p>
    <w:p w14:paraId="1276B05D" w14:textId="77777777" w:rsidR="006A3E7B" w:rsidRPr="001E548A" w:rsidRDefault="006A3E7B" w:rsidP="006A3E7B">
      <w:pPr>
        <w:rPr>
          <w:b/>
          <w:bCs/>
          <w:sz w:val="20"/>
          <w:szCs w:val="20"/>
        </w:rPr>
      </w:pPr>
      <w:r w:rsidRPr="001E548A">
        <w:rPr>
          <w:b/>
          <w:bCs/>
          <w:sz w:val="20"/>
          <w:szCs w:val="20"/>
        </w:rPr>
        <w:t>SOURCE-TO-VARIABLE MAPPING</w:t>
      </w:r>
    </w:p>
    <w:tbl>
      <w:tblPr>
        <w:tblW w:w="0" w:type="auto"/>
        <w:tblCellMar>
          <w:top w:w="15" w:type="dxa"/>
          <w:left w:w="15" w:type="dxa"/>
          <w:bottom w:w="15" w:type="dxa"/>
          <w:right w:w="15" w:type="dxa"/>
        </w:tblCellMar>
        <w:tblLook w:val="04A0" w:firstRow="1" w:lastRow="0" w:firstColumn="1" w:lastColumn="0" w:noHBand="0" w:noVBand="1"/>
      </w:tblPr>
      <w:tblGrid>
        <w:gridCol w:w="4987"/>
        <w:gridCol w:w="1870"/>
      </w:tblGrid>
      <w:tr w:rsidR="006A3E7B" w:rsidRPr="001E548A" w14:paraId="7FB36263" w14:textId="77777777">
        <w:trPr>
          <w:trHeight w:val="515"/>
        </w:trPr>
        <w:tc>
          <w:tcPr>
            <w:tcW w:w="0" w:type="auto"/>
            <w:tcMar>
              <w:top w:w="100" w:type="dxa"/>
              <w:left w:w="100" w:type="dxa"/>
              <w:bottom w:w="100" w:type="dxa"/>
              <w:right w:w="100" w:type="dxa"/>
            </w:tcMar>
            <w:hideMark/>
          </w:tcPr>
          <w:p w14:paraId="6E58AA09" w14:textId="77777777" w:rsidR="006A3E7B" w:rsidRPr="001E548A" w:rsidRDefault="006A3E7B" w:rsidP="006A3E7B">
            <w:pPr>
              <w:rPr>
                <w:sz w:val="20"/>
                <w:szCs w:val="20"/>
              </w:rPr>
            </w:pPr>
            <w:r w:rsidRPr="001E548A">
              <w:rPr>
                <w:b/>
                <w:bCs/>
                <w:sz w:val="20"/>
                <w:szCs w:val="20"/>
              </w:rPr>
              <w:t>Source</w:t>
            </w:r>
          </w:p>
        </w:tc>
        <w:tc>
          <w:tcPr>
            <w:tcW w:w="0" w:type="auto"/>
            <w:tcMar>
              <w:top w:w="100" w:type="dxa"/>
              <w:left w:w="100" w:type="dxa"/>
              <w:bottom w:w="100" w:type="dxa"/>
              <w:right w:w="100" w:type="dxa"/>
            </w:tcMar>
            <w:hideMark/>
          </w:tcPr>
          <w:p w14:paraId="5A801BB2" w14:textId="77777777" w:rsidR="006A3E7B" w:rsidRPr="001E548A" w:rsidRDefault="006A3E7B" w:rsidP="006A3E7B">
            <w:pPr>
              <w:rPr>
                <w:sz w:val="20"/>
                <w:szCs w:val="20"/>
              </w:rPr>
            </w:pPr>
            <w:r w:rsidRPr="001E548A">
              <w:rPr>
                <w:b/>
                <w:bCs/>
                <w:sz w:val="20"/>
                <w:szCs w:val="20"/>
              </w:rPr>
              <w:t>Variables</w:t>
            </w:r>
          </w:p>
        </w:tc>
      </w:tr>
      <w:tr w:rsidR="006A3E7B" w:rsidRPr="001E548A" w14:paraId="2C1951BD" w14:textId="77777777">
        <w:trPr>
          <w:trHeight w:val="515"/>
        </w:trPr>
        <w:tc>
          <w:tcPr>
            <w:tcW w:w="0" w:type="auto"/>
            <w:tcMar>
              <w:top w:w="100" w:type="dxa"/>
              <w:left w:w="100" w:type="dxa"/>
              <w:bottom w:w="100" w:type="dxa"/>
              <w:right w:w="100" w:type="dxa"/>
            </w:tcMar>
            <w:hideMark/>
          </w:tcPr>
          <w:p w14:paraId="1FD2714B" w14:textId="77777777" w:rsidR="006A3E7B" w:rsidRPr="001E548A" w:rsidRDefault="006A3E7B" w:rsidP="006A3E7B">
            <w:pPr>
              <w:rPr>
                <w:sz w:val="20"/>
                <w:szCs w:val="20"/>
              </w:rPr>
            </w:pPr>
            <w:r w:rsidRPr="001E548A">
              <w:rPr>
                <w:sz w:val="20"/>
                <w:szCs w:val="20"/>
              </w:rPr>
              <w:t>#1 Animal Equality, "Victory" timeline</w:t>
            </w:r>
          </w:p>
        </w:tc>
        <w:tc>
          <w:tcPr>
            <w:tcW w:w="0" w:type="auto"/>
            <w:tcMar>
              <w:top w:w="100" w:type="dxa"/>
              <w:left w:w="100" w:type="dxa"/>
              <w:bottom w:w="100" w:type="dxa"/>
              <w:right w:w="100" w:type="dxa"/>
            </w:tcMar>
            <w:hideMark/>
          </w:tcPr>
          <w:p w14:paraId="67511180" w14:textId="77777777" w:rsidR="006A3E7B" w:rsidRPr="001E548A" w:rsidRDefault="006A3E7B" w:rsidP="006A3E7B">
            <w:pPr>
              <w:rPr>
                <w:sz w:val="20"/>
                <w:szCs w:val="20"/>
              </w:rPr>
            </w:pPr>
            <w:r w:rsidRPr="001E548A">
              <w:rPr>
                <w:sz w:val="20"/>
                <w:szCs w:val="20"/>
              </w:rPr>
              <w:t>8, 10, 15a, 15b, 15c</w:t>
            </w:r>
          </w:p>
        </w:tc>
      </w:tr>
      <w:tr w:rsidR="006A3E7B" w:rsidRPr="001E548A" w14:paraId="5106FB26" w14:textId="77777777">
        <w:trPr>
          <w:trHeight w:val="515"/>
        </w:trPr>
        <w:tc>
          <w:tcPr>
            <w:tcW w:w="0" w:type="auto"/>
            <w:tcMar>
              <w:top w:w="100" w:type="dxa"/>
              <w:left w:w="100" w:type="dxa"/>
              <w:bottom w:w="100" w:type="dxa"/>
              <w:right w:w="100" w:type="dxa"/>
            </w:tcMar>
            <w:hideMark/>
          </w:tcPr>
          <w:p w14:paraId="62618B43" w14:textId="77777777" w:rsidR="006A3E7B" w:rsidRPr="001E548A" w:rsidRDefault="006A3E7B" w:rsidP="006A3E7B">
            <w:pPr>
              <w:rPr>
                <w:sz w:val="20"/>
                <w:szCs w:val="20"/>
              </w:rPr>
            </w:pPr>
            <w:r w:rsidRPr="001E548A">
              <w:rPr>
                <w:sz w:val="20"/>
                <w:szCs w:val="20"/>
              </w:rPr>
              <w:t>#2 HSI/Mexico (Aguilar), Chamber of Deputies piece</w:t>
            </w:r>
          </w:p>
        </w:tc>
        <w:tc>
          <w:tcPr>
            <w:tcW w:w="0" w:type="auto"/>
            <w:tcMar>
              <w:top w:w="100" w:type="dxa"/>
              <w:left w:w="100" w:type="dxa"/>
              <w:bottom w:w="100" w:type="dxa"/>
              <w:right w:w="100" w:type="dxa"/>
            </w:tcMar>
            <w:hideMark/>
          </w:tcPr>
          <w:p w14:paraId="53286DBE" w14:textId="77777777" w:rsidR="006A3E7B" w:rsidRPr="001E548A" w:rsidRDefault="006A3E7B" w:rsidP="006A3E7B">
            <w:pPr>
              <w:rPr>
                <w:sz w:val="20"/>
                <w:szCs w:val="20"/>
              </w:rPr>
            </w:pPr>
            <w:r w:rsidRPr="001E548A">
              <w:rPr>
                <w:sz w:val="20"/>
                <w:szCs w:val="20"/>
              </w:rPr>
              <w:t>2, 7, 8, 10, 15d, 15e</w:t>
            </w:r>
          </w:p>
        </w:tc>
      </w:tr>
      <w:tr w:rsidR="006A3E7B" w:rsidRPr="001E548A" w14:paraId="378B6848" w14:textId="77777777">
        <w:trPr>
          <w:trHeight w:val="515"/>
        </w:trPr>
        <w:tc>
          <w:tcPr>
            <w:tcW w:w="0" w:type="auto"/>
            <w:tcMar>
              <w:top w:w="100" w:type="dxa"/>
              <w:left w:w="100" w:type="dxa"/>
              <w:bottom w:w="100" w:type="dxa"/>
              <w:right w:w="100" w:type="dxa"/>
            </w:tcMar>
            <w:hideMark/>
          </w:tcPr>
          <w:p w14:paraId="13DDB494" w14:textId="77777777" w:rsidR="006A3E7B" w:rsidRPr="001E548A" w:rsidRDefault="006A3E7B" w:rsidP="006A3E7B">
            <w:pPr>
              <w:rPr>
                <w:sz w:val="20"/>
                <w:szCs w:val="20"/>
              </w:rPr>
            </w:pPr>
            <w:r w:rsidRPr="001E548A">
              <w:rPr>
                <w:sz w:val="20"/>
                <w:szCs w:val="20"/>
              </w:rPr>
              <w:t>#3 Igualdad Animal México, "La protección animal..."</w:t>
            </w:r>
          </w:p>
        </w:tc>
        <w:tc>
          <w:tcPr>
            <w:tcW w:w="0" w:type="auto"/>
            <w:tcMar>
              <w:top w:w="100" w:type="dxa"/>
              <w:left w:w="100" w:type="dxa"/>
              <w:bottom w:w="100" w:type="dxa"/>
              <w:right w:w="100" w:type="dxa"/>
            </w:tcMar>
            <w:hideMark/>
          </w:tcPr>
          <w:p w14:paraId="3B654817" w14:textId="77777777" w:rsidR="006A3E7B" w:rsidRPr="001E548A" w:rsidRDefault="006A3E7B" w:rsidP="006A3E7B">
            <w:pPr>
              <w:rPr>
                <w:sz w:val="20"/>
                <w:szCs w:val="20"/>
              </w:rPr>
            </w:pPr>
            <w:r w:rsidRPr="001E548A">
              <w:rPr>
                <w:sz w:val="20"/>
                <w:szCs w:val="20"/>
              </w:rPr>
              <w:t>8, 15d, 15e</w:t>
            </w:r>
          </w:p>
        </w:tc>
      </w:tr>
      <w:tr w:rsidR="006A3E7B" w:rsidRPr="001E548A" w14:paraId="6F7DC07C" w14:textId="77777777">
        <w:trPr>
          <w:trHeight w:val="515"/>
        </w:trPr>
        <w:tc>
          <w:tcPr>
            <w:tcW w:w="0" w:type="auto"/>
            <w:tcMar>
              <w:top w:w="100" w:type="dxa"/>
              <w:left w:w="100" w:type="dxa"/>
              <w:bottom w:w="100" w:type="dxa"/>
              <w:right w:w="100" w:type="dxa"/>
            </w:tcMar>
            <w:hideMark/>
          </w:tcPr>
          <w:p w14:paraId="7A2C6865" w14:textId="77777777" w:rsidR="006A3E7B" w:rsidRPr="001E548A" w:rsidRDefault="006A3E7B" w:rsidP="006A3E7B">
            <w:pPr>
              <w:rPr>
                <w:sz w:val="20"/>
                <w:szCs w:val="20"/>
              </w:rPr>
            </w:pPr>
            <w:r w:rsidRPr="001E548A">
              <w:rPr>
                <w:sz w:val="20"/>
                <w:szCs w:val="20"/>
              </w:rPr>
              <w:t>#4 Notilegis (Diputados), DOF publication piece</w:t>
            </w:r>
          </w:p>
        </w:tc>
        <w:tc>
          <w:tcPr>
            <w:tcW w:w="0" w:type="auto"/>
            <w:tcMar>
              <w:top w:w="100" w:type="dxa"/>
              <w:left w:w="100" w:type="dxa"/>
              <w:bottom w:w="100" w:type="dxa"/>
              <w:right w:w="100" w:type="dxa"/>
            </w:tcMar>
            <w:hideMark/>
          </w:tcPr>
          <w:p w14:paraId="14ADED85" w14:textId="77777777" w:rsidR="006A3E7B" w:rsidRPr="001E548A" w:rsidRDefault="006A3E7B" w:rsidP="006A3E7B">
            <w:pPr>
              <w:rPr>
                <w:sz w:val="20"/>
                <w:szCs w:val="20"/>
              </w:rPr>
            </w:pPr>
            <w:r w:rsidRPr="001E548A">
              <w:rPr>
                <w:sz w:val="20"/>
                <w:szCs w:val="20"/>
              </w:rPr>
              <w:t>1, 2, 3, 10, 14</w:t>
            </w:r>
          </w:p>
        </w:tc>
      </w:tr>
      <w:tr w:rsidR="006A3E7B" w:rsidRPr="001E548A" w14:paraId="318F08B8" w14:textId="77777777">
        <w:trPr>
          <w:trHeight w:val="515"/>
        </w:trPr>
        <w:tc>
          <w:tcPr>
            <w:tcW w:w="0" w:type="auto"/>
            <w:tcMar>
              <w:top w:w="100" w:type="dxa"/>
              <w:left w:w="100" w:type="dxa"/>
              <w:bottom w:w="100" w:type="dxa"/>
              <w:right w:w="100" w:type="dxa"/>
            </w:tcMar>
            <w:hideMark/>
          </w:tcPr>
          <w:p w14:paraId="464E4597" w14:textId="77777777" w:rsidR="006A3E7B" w:rsidRPr="001E548A" w:rsidRDefault="006A3E7B" w:rsidP="006A3E7B">
            <w:pPr>
              <w:rPr>
                <w:sz w:val="20"/>
                <w:szCs w:val="20"/>
              </w:rPr>
            </w:pPr>
            <w:r w:rsidRPr="001E548A">
              <w:rPr>
                <w:sz w:val="20"/>
                <w:szCs w:val="20"/>
              </w:rPr>
              <w:t>#5 N+ (Grupo Televisa), vote coverage</w:t>
            </w:r>
          </w:p>
        </w:tc>
        <w:tc>
          <w:tcPr>
            <w:tcW w:w="0" w:type="auto"/>
            <w:tcMar>
              <w:top w:w="100" w:type="dxa"/>
              <w:left w:w="100" w:type="dxa"/>
              <w:bottom w:w="100" w:type="dxa"/>
              <w:right w:w="100" w:type="dxa"/>
            </w:tcMar>
            <w:hideMark/>
          </w:tcPr>
          <w:p w14:paraId="43D0851A" w14:textId="77777777" w:rsidR="006A3E7B" w:rsidRPr="001E548A" w:rsidRDefault="006A3E7B" w:rsidP="006A3E7B">
            <w:pPr>
              <w:rPr>
                <w:sz w:val="20"/>
                <w:szCs w:val="20"/>
              </w:rPr>
            </w:pPr>
            <w:r w:rsidRPr="001E548A">
              <w:rPr>
                <w:sz w:val="20"/>
                <w:szCs w:val="20"/>
              </w:rPr>
              <w:t>3, 5, 7, 8, 14</w:t>
            </w:r>
          </w:p>
        </w:tc>
      </w:tr>
      <w:tr w:rsidR="006A3E7B" w:rsidRPr="001E548A" w14:paraId="1DC0F08D" w14:textId="77777777">
        <w:trPr>
          <w:trHeight w:val="515"/>
        </w:trPr>
        <w:tc>
          <w:tcPr>
            <w:tcW w:w="0" w:type="auto"/>
            <w:tcMar>
              <w:top w:w="100" w:type="dxa"/>
              <w:left w:w="100" w:type="dxa"/>
              <w:bottom w:w="100" w:type="dxa"/>
              <w:right w:w="100" w:type="dxa"/>
            </w:tcMar>
            <w:hideMark/>
          </w:tcPr>
          <w:p w14:paraId="574E3F41" w14:textId="77777777" w:rsidR="006A3E7B" w:rsidRPr="001E548A" w:rsidRDefault="006A3E7B" w:rsidP="006A3E7B">
            <w:pPr>
              <w:rPr>
                <w:sz w:val="20"/>
                <w:szCs w:val="20"/>
              </w:rPr>
            </w:pPr>
            <w:r w:rsidRPr="001E548A">
              <w:rPr>
                <w:sz w:val="20"/>
                <w:szCs w:val="20"/>
              </w:rPr>
              <w:t>#6 La Jornada, "Ley...en el limbo"</w:t>
            </w:r>
          </w:p>
        </w:tc>
        <w:tc>
          <w:tcPr>
            <w:tcW w:w="0" w:type="auto"/>
            <w:tcMar>
              <w:top w:w="100" w:type="dxa"/>
              <w:left w:w="100" w:type="dxa"/>
              <w:bottom w:w="100" w:type="dxa"/>
              <w:right w:w="100" w:type="dxa"/>
            </w:tcMar>
            <w:hideMark/>
          </w:tcPr>
          <w:p w14:paraId="6FDD743B" w14:textId="77777777" w:rsidR="006A3E7B" w:rsidRPr="001E548A" w:rsidRDefault="006A3E7B" w:rsidP="006A3E7B">
            <w:pPr>
              <w:rPr>
                <w:sz w:val="20"/>
                <w:szCs w:val="20"/>
              </w:rPr>
            </w:pPr>
            <w:r w:rsidRPr="001E548A">
              <w:rPr>
                <w:sz w:val="20"/>
                <w:szCs w:val="20"/>
              </w:rPr>
              <w:t>4, 11</w:t>
            </w:r>
          </w:p>
        </w:tc>
      </w:tr>
      <w:tr w:rsidR="006A3E7B" w:rsidRPr="001E548A" w14:paraId="410A89AA" w14:textId="77777777">
        <w:trPr>
          <w:trHeight w:val="515"/>
        </w:trPr>
        <w:tc>
          <w:tcPr>
            <w:tcW w:w="0" w:type="auto"/>
            <w:tcMar>
              <w:top w:w="100" w:type="dxa"/>
              <w:left w:w="100" w:type="dxa"/>
              <w:bottom w:w="100" w:type="dxa"/>
              <w:right w:w="100" w:type="dxa"/>
            </w:tcMar>
            <w:hideMark/>
          </w:tcPr>
          <w:p w14:paraId="0DD9011B" w14:textId="77777777" w:rsidR="006A3E7B" w:rsidRPr="001E548A" w:rsidRDefault="006A3E7B" w:rsidP="006A3E7B">
            <w:pPr>
              <w:rPr>
                <w:sz w:val="20"/>
                <w:szCs w:val="20"/>
              </w:rPr>
            </w:pPr>
            <w:r w:rsidRPr="001E548A">
              <w:rPr>
                <w:sz w:val="20"/>
                <w:szCs w:val="20"/>
              </w:rPr>
              <w:t>#7 DOF decree text (Julie-supplied)</w:t>
            </w:r>
          </w:p>
        </w:tc>
        <w:tc>
          <w:tcPr>
            <w:tcW w:w="0" w:type="auto"/>
            <w:tcMar>
              <w:top w:w="100" w:type="dxa"/>
              <w:left w:w="100" w:type="dxa"/>
              <w:bottom w:w="100" w:type="dxa"/>
              <w:right w:w="100" w:type="dxa"/>
            </w:tcMar>
            <w:hideMark/>
          </w:tcPr>
          <w:p w14:paraId="590C1EE8" w14:textId="77777777" w:rsidR="006A3E7B" w:rsidRPr="001E548A" w:rsidRDefault="006A3E7B" w:rsidP="006A3E7B">
            <w:pPr>
              <w:rPr>
                <w:sz w:val="20"/>
                <w:szCs w:val="20"/>
              </w:rPr>
            </w:pPr>
            <w:r w:rsidRPr="001E548A">
              <w:rPr>
                <w:sz w:val="20"/>
                <w:szCs w:val="20"/>
              </w:rPr>
              <w:t>1, 6, 9, 11, 13</w:t>
            </w:r>
          </w:p>
        </w:tc>
      </w:tr>
      <w:tr w:rsidR="006A3E7B" w:rsidRPr="001E548A" w14:paraId="20363736" w14:textId="77777777">
        <w:trPr>
          <w:trHeight w:val="515"/>
        </w:trPr>
        <w:tc>
          <w:tcPr>
            <w:tcW w:w="0" w:type="auto"/>
            <w:tcMar>
              <w:top w:w="100" w:type="dxa"/>
              <w:left w:w="100" w:type="dxa"/>
              <w:bottom w:w="100" w:type="dxa"/>
              <w:right w:w="100" w:type="dxa"/>
            </w:tcMar>
            <w:hideMark/>
          </w:tcPr>
          <w:p w14:paraId="4C50215D" w14:textId="77777777" w:rsidR="006A3E7B" w:rsidRPr="001E548A" w:rsidRDefault="006A3E7B" w:rsidP="006A3E7B">
            <w:pPr>
              <w:rPr>
                <w:sz w:val="20"/>
                <w:szCs w:val="20"/>
              </w:rPr>
            </w:pPr>
            <w:r w:rsidRPr="001E548A">
              <w:rPr>
                <w:sz w:val="20"/>
                <w:szCs w:val="20"/>
              </w:rPr>
              <w:t>#8 Baena Sánchez, SciELO 2025</w:t>
            </w:r>
          </w:p>
        </w:tc>
        <w:tc>
          <w:tcPr>
            <w:tcW w:w="0" w:type="auto"/>
            <w:tcMar>
              <w:top w:w="100" w:type="dxa"/>
              <w:left w:w="100" w:type="dxa"/>
              <w:bottom w:w="100" w:type="dxa"/>
              <w:right w:w="100" w:type="dxa"/>
            </w:tcMar>
            <w:hideMark/>
          </w:tcPr>
          <w:p w14:paraId="391CC820" w14:textId="77777777" w:rsidR="006A3E7B" w:rsidRPr="001E548A" w:rsidRDefault="006A3E7B" w:rsidP="006A3E7B">
            <w:pPr>
              <w:rPr>
                <w:sz w:val="20"/>
                <w:szCs w:val="20"/>
              </w:rPr>
            </w:pPr>
            <w:r w:rsidRPr="001E548A">
              <w:rPr>
                <w:sz w:val="20"/>
                <w:szCs w:val="20"/>
              </w:rPr>
              <w:t>2, 7, 10, 11, 13</w:t>
            </w:r>
          </w:p>
        </w:tc>
      </w:tr>
      <w:tr w:rsidR="006A3E7B" w:rsidRPr="001E548A" w14:paraId="7D4DAAB3" w14:textId="77777777">
        <w:trPr>
          <w:trHeight w:val="515"/>
        </w:trPr>
        <w:tc>
          <w:tcPr>
            <w:tcW w:w="0" w:type="auto"/>
            <w:tcMar>
              <w:top w:w="100" w:type="dxa"/>
              <w:left w:w="100" w:type="dxa"/>
              <w:bottom w:w="100" w:type="dxa"/>
              <w:right w:w="100" w:type="dxa"/>
            </w:tcMar>
            <w:hideMark/>
          </w:tcPr>
          <w:p w14:paraId="627BE661" w14:textId="77777777" w:rsidR="006A3E7B" w:rsidRPr="001E548A" w:rsidRDefault="006A3E7B" w:rsidP="006A3E7B">
            <w:pPr>
              <w:rPr>
                <w:sz w:val="20"/>
                <w:szCs w:val="20"/>
              </w:rPr>
            </w:pPr>
            <w:r w:rsidRPr="001E548A">
              <w:rPr>
                <w:sz w:val="20"/>
                <w:szCs w:val="20"/>
              </w:rPr>
              <w:t>#9 Díez-Spelz, UNAM 2025</w:t>
            </w:r>
          </w:p>
          <w:p w14:paraId="5AF0E650" w14:textId="080547ED" w:rsidR="00B93FA6" w:rsidRPr="001E548A" w:rsidRDefault="00B93FA6" w:rsidP="006A3E7B">
            <w:pPr>
              <w:rPr>
                <w:sz w:val="20"/>
                <w:szCs w:val="20"/>
              </w:rPr>
            </w:pPr>
            <w:r w:rsidRPr="001E548A">
              <w:rPr>
                <w:sz w:val="20"/>
                <w:szCs w:val="20"/>
              </w:rPr>
              <w:lastRenderedPageBreak/>
              <w:t>Miranda-de la Lama et al. 2017 — 12</w:t>
            </w:r>
            <w:r w:rsidRPr="001E548A">
              <w:rPr>
                <w:sz w:val="20"/>
                <w:szCs w:val="20"/>
              </w:rPr>
              <w:br/>
              <w:t>Estévez-Moreno et al. 2021 — 12</w:t>
            </w:r>
            <w:r w:rsidRPr="001E548A">
              <w:rPr>
                <w:sz w:val="20"/>
                <w:szCs w:val="20"/>
              </w:rPr>
              <w:br/>
              <w:t>Parametria survey (via Humane World for Animals) — 12</w:t>
            </w:r>
          </w:p>
        </w:tc>
        <w:tc>
          <w:tcPr>
            <w:tcW w:w="0" w:type="auto"/>
            <w:tcMar>
              <w:top w:w="100" w:type="dxa"/>
              <w:left w:w="100" w:type="dxa"/>
              <w:bottom w:w="100" w:type="dxa"/>
              <w:right w:w="100" w:type="dxa"/>
            </w:tcMar>
            <w:hideMark/>
          </w:tcPr>
          <w:p w14:paraId="66C060C7" w14:textId="77777777" w:rsidR="006A3E7B" w:rsidRPr="001E548A" w:rsidRDefault="006A3E7B" w:rsidP="006A3E7B">
            <w:pPr>
              <w:rPr>
                <w:sz w:val="20"/>
                <w:szCs w:val="20"/>
              </w:rPr>
            </w:pPr>
            <w:r w:rsidRPr="001E548A">
              <w:rPr>
                <w:sz w:val="20"/>
                <w:szCs w:val="20"/>
              </w:rPr>
              <w:lastRenderedPageBreak/>
              <w:t>13</w:t>
            </w:r>
          </w:p>
        </w:tc>
      </w:tr>
    </w:tbl>
    <w:p w14:paraId="279A9143" w14:textId="77777777" w:rsidR="006A3E7B" w:rsidRPr="001E548A" w:rsidRDefault="006A3E7B" w:rsidP="006A3E7B">
      <w:pPr>
        <w:rPr>
          <w:b/>
          <w:bCs/>
          <w:sz w:val="20"/>
          <w:szCs w:val="20"/>
        </w:rPr>
      </w:pPr>
      <w:r w:rsidRPr="001E548A">
        <w:rPr>
          <w:b/>
          <w:bCs/>
          <w:sz w:val="20"/>
          <w:szCs w:val="20"/>
        </w:rPr>
        <w:t>OBSERVATION</w:t>
      </w:r>
    </w:p>
    <w:p w14:paraId="6FC3711B" w14:textId="77777777" w:rsidR="006A3E7B" w:rsidRPr="001E548A" w:rsidRDefault="006A3E7B" w:rsidP="006A3E7B">
      <w:pPr>
        <w:rPr>
          <w:sz w:val="20"/>
          <w:szCs w:val="20"/>
        </w:rPr>
      </w:pPr>
      <w:r w:rsidRPr="001E548A">
        <w:rPr>
          <w:sz w:val="20"/>
          <w:szCs w:val="20"/>
        </w:rPr>
        <w:t>Evidence is well-distributed across nine sources with no single source dominating: the heaviest contributors (#2, #4, #5, #8) each touch 5–6 of 15 entries, reflecting the case's relatively compact, fast-moving final legislative phase rather than concentration in one document. Coverage is balanced across NGO self-report, government record, independent media, and two distinct peer-reviewed academic commentaries (one celebratory, one critical).</w:t>
      </w:r>
    </w:p>
    <w:p w14:paraId="37D71ABC" w14:textId="77777777" w:rsidR="006A3E7B" w:rsidRPr="001E548A" w:rsidRDefault="006A3E7B" w:rsidP="006A3E7B">
      <w:pPr>
        <w:rPr>
          <w:b/>
          <w:bCs/>
          <w:sz w:val="20"/>
          <w:szCs w:val="20"/>
        </w:rPr>
      </w:pPr>
      <w:r w:rsidRPr="001E548A">
        <w:rPr>
          <w:b/>
          <w:bCs/>
          <w:sz w:val="20"/>
          <w:szCs w:val="20"/>
        </w:rPr>
        <w:t>CASE-LEVEL SUMMARY</w:t>
      </w:r>
    </w:p>
    <w:p w14:paraId="522976F0" w14:textId="77777777" w:rsidR="006A3E7B" w:rsidRPr="001E548A" w:rsidRDefault="006A3E7B" w:rsidP="006A3E7B">
      <w:pPr>
        <w:rPr>
          <w:sz w:val="20"/>
          <w:szCs w:val="20"/>
        </w:rPr>
      </w:pPr>
      <w:r w:rsidRPr="001E548A">
        <w:rPr>
          <w:b/>
          <w:bCs/>
          <w:sz w:val="20"/>
          <w:szCs w:val="20"/>
        </w:rPr>
        <w:t>Low confidence / insufficient:</w:t>
      </w:r>
    </w:p>
    <w:p w14:paraId="1BC4AA75" w14:textId="77777777" w:rsidR="006A3E7B" w:rsidRPr="001E548A" w:rsidRDefault="006A3E7B" w:rsidP="00043AF9">
      <w:pPr>
        <w:numPr>
          <w:ilvl w:val="0"/>
          <w:numId w:val="23"/>
        </w:numPr>
        <w:rPr>
          <w:sz w:val="20"/>
          <w:szCs w:val="20"/>
        </w:rPr>
      </w:pPr>
      <w:r w:rsidRPr="001E548A">
        <w:rPr>
          <w:sz w:val="20"/>
          <w:szCs w:val="20"/>
        </w:rPr>
        <w:t>#12 Public sentiment starting point — Insufficient evidence; case runs on 13 variables.</w:t>
      </w:r>
    </w:p>
    <w:p w14:paraId="62CC191A" w14:textId="77777777" w:rsidR="006A3E7B" w:rsidRPr="001E548A" w:rsidRDefault="006A3E7B" w:rsidP="006A3E7B">
      <w:pPr>
        <w:rPr>
          <w:sz w:val="20"/>
          <w:szCs w:val="20"/>
        </w:rPr>
      </w:pPr>
      <w:r w:rsidRPr="001E548A">
        <w:rPr>
          <w:b/>
          <w:bCs/>
          <w:sz w:val="20"/>
          <w:szCs w:val="20"/>
        </w:rPr>
        <w:t>Medium confidence:</w:t>
      </w:r>
    </w:p>
    <w:p w14:paraId="4AEBE90A" w14:textId="77777777" w:rsidR="006A3E7B" w:rsidRPr="001E548A" w:rsidRDefault="006A3E7B" w:rsidP="00043AF9">
      <w:pPr>
        <w:numPr>
          <w:ilvl w:val="0"/>
          <w:numId w:val="24"/>
        </w:numPr>
        <w:rPr>
          <w:sz w:val="20"/>
          <w:szCs w:val="20"/>
        </w:rPr>
      </w:pPr>
      <w:r w:rsidRPr="001E548A">
        <w:rPr>
          <w:sz w:val="20"/>
          <w:szCs w:val="20"/>
        </w:rPr>
        <w:t>#3 Strength of opposition — absence-based inference from unanimous votes, not positive confirmation of no opposition.</w:t>
      </w:r>
    </w:p>
    <w:p w14:paraId="5758025E" w14:textId="77777777" w:rsidR="006A3E7B" w:rsidRPr="001E548A" w:rsidRDefault="006A3E7B" w:rsidP="00043AF9">
      <w:pPr>
        <w:numPr>
          <w:ilvl w:val="0"/>
          <w:numId w:val="24"/>
        </w:numPr>
        <w:rPr>
          <w:sz w:val="20"/>
          <w:szCs w:val="20"/>
        </w:rPr>
      </w:pPr>
      <w:r w:rsidRPr="001E548A">
        <w:rPr>
          <w:sz w:val="20"/>
          <w:szCs w:val="20"/>
        </w:rPr>
        <w:t>#5 Visibility of harm — statistic drawn from legislative-debate coverage rather than a dedicated pre-campaign survey.</w:t>
      </w:r>
    </w:p>
    <w:p w14:paraId="665FB2E7" w14:textId="77777777" w:rsidR="006A3E7B" w:rsidRPr="001E548A" w:rsidRDefault="006A3E7B" w:rsidP="00043AF9">
      <w:pPr>
        <w:numPr>
          <w:ilvl w:val="0"/>
          <w:numId w:val="24"/>
        </w:numPr>
        <w:rPr>
          <w:sz w:val="20"/>
          <w:szCs w:val="20"/>
        </w:rPr>
      </w:pPr>
      <w:r w:rsidRPr="001E548A">
        <w:rPr>
          <w:sz w:val="20"/>
          <w:szCs w:val="20"/>
        </w:rPr>
        <w:t>#14 Narrative dominance — strong for the legislative moment itself, but earlier-stage counter-narrative (if any) is not captured in the locked set.</w:t>
      </w:r>
    </w:p>
    <w:p w14:paraId="005F3132" w14:textId="77777777" w:rsidR="006A3E7B" w:rsidRPr="001E548A" w:rsidRDefault="006A3E7B" w:rsidP="006A3E7B">
      <w:pPr>
        <w:rPr>
          <w:sz w:val="20"/>
          <w:szCs w:val="20"/>
        </w:rPr>
      </w:pPr>
      <w:r w:rsidRPr="001E548A">
        <w:rPr>
          <w:b/>
          <w:bCs/>
          <w:sz w:val="20"/>
          <w:szCs w:val="20"/>
        </w:rPr>
        <w:t>Phase 1/4 exception use:</w:t>
      </w:r>
      <w:r w:rsidRPr="001E548A">
        <w:rPr>
          <w:sz w:val="20"/>
          <w:szCs w:val="20"/>
        </w:rPr>
        <w:t xml:space="preserve"> None required. Legal/regulatory landscape (#13) and Narrative dominance (#14) were both coded entirely from in-window locked sources without reaching outside the locked set.</w:t>
      </w:r>
    </w:p>
    <w:p w14:paraId="5EEF0681" w14:textId="77777777" w:rsidR="006A3E7B" w:rsidRPr="001E548A" w:rsidRDefault="006A3E7B" w:rsidP="006A3E7B">
      <w:pPr>
        <w:rPr>
          <w:b/>
          <w:bCs/>
          <w:sz w:val="20"/>
          <w:szCs w:val="20"/>
        </w:rPr>
      </w:pPr>
      <w:r w:rsidRPr="001E548A">
        <w:rPr>
          <w:b/>
          <w:bCs/>
          <w:sz w:val="20"/>
          <w:szCs w:val="20"/>
        </w:rPr>
        <w:t>OVERALL CASE CONFIDENCE/QUALITY FLAG</w:t>
      </w:r>
    </w:p>
    <w:p w14:paraId="12D97DAD" w14:textId="77777777" w:rsidR="006A3E7B" w:rsidRPr="001E548A" w:rsidRDefault="006A3E7B" w:rsidP="006A3E7B">
      <w:pPr>
        <w:rPr>
          <w:sz w:val="20"/>
          <w:szCs w:val="20"/>
        </w:rPr>
      </w:pPr>
      <w:r w:rsidRPr="001E548A">
        <w:rPr>
          <w:b/>
          <w:bCs/>
          <w:sz w:val="20"/>
          <w:szCs w:val="20"/>
        </w:rPr>
        <w:t>High.</w:t>
      </w:r>
      <w:r w:rsidRPr="001E548A">
        <w:rPr>
          <w:sz w:val="20"/>
          <w:szCs w:val="20"/>
        </w:rPr>
        <w:t xml:space="preserve"> 11 of 14 substantive variables sit at High confidence, with three at Medium and one genuine structural gap (Public sentiment). Source diversity spans NGO self-report, official government record, independent national media, and two distinct peer-reviewed academic sources — satisfying the diversity requirement across all four mandated categories. The case is formally resolved (constitutional passage achieved, unanimous at every stage), though the pending General Law represents an important caveat captured below rather than treated as an open/unresolved coding.</w:t>
      </w:r>
    </w:p>
    <w:p w14:paraId="3CB70C8C" w14:textId="77777777" w:rsidR="006A3E7B" w:rsidRPr="001E548A" w:rsidRDefault="006A3E7B" w:rsidP="006A3E7B">
      <w:pPr>
        <w:rPr>
          <w:b/>
          <w:bCs/>
          <w:sz w:val="20"/>
          <w:szCs w:val="20"/>
        </w:rPr>
      </w:pPr>
      <w:r w:rsidRPr="001E548A">
        <w:rPr>
          <w:b/>
          <w:bCs/>
          <w:sz w:val="20"/>
          <w:szCs w:val="20"/>
        </w:rPr>
        <w:t>HINDSIGHT NOTES</w:t>
      </w:r>
    </w:p>
    <w:p w14:paraId="55692143" w14:textId="77777777" w:rsidR="006A3E7B" w:rsidRPr="001E548A" w:rsidRDefault="006A3E7B" w:rsidP="00043AF9">
      <w:pPr>
        <w:numPr>
          <w:ilvl w:val="0"/>
          <w:numId w:val="25"/>
        </w:numPr>
        <w:rPr>
          <w:sz w:val="20"/>
          <w:szCs w:val="20"/>
        </w:rPr>
      </w:pPr>
      <w:r w:rsidRPr="001E548A">
        <w:rPr>
          <w:sz w:val="20"/>
          <w:szCs w:val="20"/>
        </w:rPr>
        <w:t>Hindsight note: Degree of behaviour change required (#6) and Economic disruption required (#9) — both currently coded Low/symbolic for the constitutional reform itself; if the General Law mandated by the decree's own transitory articles is eventually passed, these codings would very likely shift substantially higher, since the actual operational requirements for industrial livestock remain entirely undetermined as of the locked window's close. Not used in coding above.</w:t>
      </w:r>
    </w:p>
    <w:p w14:paraId="3D2DEF57" w14:textId="77777777" w:rsidR="006A3E7B" w:rsidRPr="001E548A" w:rsidRDefault="006A3E7B" w:rsidP="00043AF9">
      <w:pPr>
        <w:numPr>
          <w:ilvl w:val="0"/>
          <w:numId w:val="25"/>
        </w:numPr>
        <w:rPr>
          <w:sz w:val="20"/>
          <w:szCs w:val="20"/>
        </w:rPr>
      </w:pPr>
      <w:r w:rsidRPr="001E548A">
        <w:rPr>
          <w:sz w:val="20"/>
          <w:szCs w:val="20"/>
        </w:rPr>
        <w:t>Hindsight note: Strength/Type of opposition (#3, #4) — La Jornada's January 2026 reporting (already in the locked set as in-window-adjacent contestation evidence) suggests opposition strength may be substantially understated by looking only at the unanimous constitutional vote; the real contestation appears to be occurring at the secondary-legislation stage, which falls just at the edge of or beyond this case's locked window.</w:t>
      </w:r>
    </w:p>
    <w:p w14:paraId="2643BAF1" w14:textId="77777777" w:rsidR="006A3E7B" w:rsidRPr="001E548A" w:rsidRDefault="006A3E7B" w:rsidP="00043AF9">
      <w:pPr>
        <w:numPr>
          <w:ilvl w:val="0"/>
          <w:numId w:val="25"/>
        </w:numPr>
        <w:rPr>
          <w:sz w:val="20"/>
          <w:szCs w:val="20"/>
        </w:rPr>
      </w:pPr>
      <w:r w:rsidRPr="001E548A">
        <w:rPr>
          <w:sz w:val="20"/>
          <w:szCs w:val="20"/>
        </w:rPr>
        <w:t>No hindsight notes applicable for Public sentiment starting point — gap is structural (no baseline source exists in the locked set), not resolvable by later evidence.</w:t>
      </w:r>
    </w:p>
    <w:p w14:paraId="48F3A4D6" w14:textId="7DD31C63" w:rsidR="00750A6A" w:rsidRDefault="00BD455E" w:rsidP="00BD455E">
      <w:pPr>
        <w:pStyle w:val="Heading1"/>
      </w:pPr>
      <w:r w:rsidRPr="00BD455E">
        <w:lastRenderedPageBreak/>
        <w:t>CASE</w:t>
      </w:r>
      <w:r>
        <w:t xml:space="preserve"> 5</w:t>
      </w:r>
      <w:r w:rsidRPr="00BD455E">
        <w:t>: Sinergia Animal Global South Cage-Free &amp; Pig Welfare Campaign</w:t>
      </w:r>
    </w:p>
    <w:p w14:paraId="12B2E573" w14:textId="77777777" w:rsidR="00750A6A" w:rsidRPr="008A5256" w:rsidRDefault="00750A6A" w:rsidP="00750A6A">
      <w:pPr>
        <w:rPr>
          <w:b/>
          <w:bCs/>
          <w:sz w:val="20"/>
          <w:szCs w:val="20"/>
        </w:rPr>
      </w:pPr>
      <w:r w:rsidRPr="008A5256">
        <w:rPr>
          <w:b/>
          <w:bCs/>
          <w:sz w:val="20"/>
          <w:szCs w:val="20"/>
        </w:rPr>
        <w:t>LIST B — EVIDENCE / CONFIDENCE / SOURCE TAG</w:t>
      </w:r>
    </w:p>
    <w:p w14:paraId="741928A4" w14:textId="77777777" w:rsidR="00750A6A" w:rsidRPr="008A5256" w:rsidRDefault="00750A6A" w:rsidP="00043AF9">
      <w:pPr>
        <w:numPr>
          <w:ilvl w:val="0"/>
          <w:numId w:val="11"/>
        </w:numPr>
        <w:rPr>
          <w:sz w:val="20"/>
          <w:szCs w:val="20"/>
        </w:rPr>
      </w:pPr>
      <w:r w:rsidRPr="008A5256">
        <w:rPr>
          <w:b/>
          <w:bCs/>
          <w:sz w:val="20"/>
          <w:szCs w:val="20"/>
        </w:rPr>
        <w:t>Target type</w:t>
      </w:r>
      <w:r w:rsidRPr="008A5256">
        <w:rPr>
          <w:b/>
          <w:bCs/>
          <w:sz w:val="20"/>
          <w:szCs w:val="20"/>
        </w:rPr>
        <w:br/>
      </w:r>
      <w:r w:rsidRPr="008A5256">
        <w:rPr>
          <w:sz w:val="20"/>
          <w:szCs w:val="20"/>
        </w:rPr>
        <w:t xml:space="preserve"> Evidence: All locked sources document corporate targets (retailers, manufacturers, fast-food chains, pork producers) as the object of campaigns; no government target is documented as primary at this stage.</w:t>
      </w:r>
      <w:r w:rsidRPr="008A5256">
        <w:rPr>
          <w:sz w:val="20"/>
          <w:szCs w:val="20"/>
        </w:rPr>
        <w:br/>
        <w:t xml:space="preserve"> Confidence: High — consistently and directly evidenced across multiple sources.</w:t>
      </w:r>
      <w:r w:rsidRPr="008A5256">
        <w:rPr>
          <w:sz w:val="20"/>
          <w:szCs w:val="20"/>
        </w:rPr>
        <w:br/>
        <w:t xml:space="preserve"> Source Tag: #1, #2, #4, #5.</w:t>
      </w:r>
    </w:p>
    <w:p w14:paraId="043920CE" w14:textId="77777777" w:rsidR="00750A6A" w:rsidRPr="008A5256" w:rsidRDefault="00750A6A" w:rsidP="00043AF9">
      <w:pPr>
        <w:numPr>
          <w:ilvl w:val="0"/>
          <w:numId w:val="11"/>
        </w:numPr>
        <w:rPr>
          <w:sz w:val="20"/>
          <w:szCs w:val="20"/>
        </w:rPr>
      </w:pPr>
      <w:r w:rsidRPr="008A5256">
        <w:rPr>
          <w:b/>
          <w:bCs/>
          <w:sz w:val="20"/>
          <w:szCs w:val="20"/>
        </w:rPr>
        <w:t>Concentration of decision-making power</w:t>
      </w:r>
      <w:r w:rsidRPr="008A5256">
        <w:rPr>
          <w:b/>
          <w:bCs/>
          <w:sz w:val="20"/>
          <w:szCs w:val="20"/>
        </w:rPr>
        <w:br/>
      </w:r>
      <w:r w:rsidRPr="008A5256">
        <w:rPr>
          <w:sz w:val="20"/>
          <w:szCs w:val="20"/>
        </w:rPr>
        <w:t xml:space="preserve"> Evidence: Source #3 documents that Brazil's pig welfare commitments came from a small number of large producers (JBS, BRF-scale concentration), while egg-sector commitments were secured from a larger, more fragmented set of retailers across Argentina/Colombia.</w:t>
      </w:r>
      <w:r w:rsidRPr="008A5256">
        <w:rPr>
          <w:sz w:val="20"/>
          <w:szCs w:val="20"/>
        </w:rPr>
        <w:br/>
        <w:t xml:space="preserve"> Confidence: High — directly evidenced with country/sector-specific contrast.</w:t>
      </w:r>
      <w:r w:rsidRPr="008A5256">
        <w:rPr>
          <w:sz w:val="20"/>
          <w:szCs w:val="20"/>
        </w:rPr>
        <w:br/>
        <w:t xml:space="preserve"> Source Tag: #3, #1.</w:t>
      </w:r>
    </w:p>
    <w:p w14:paraId="1EAC30D1" w14:textId="77777777" w:rsidR="00750A6A" w:rsidRPr="008A5256" w:rsidRDefault="00750A6A" w:rsidP="00043AF9">
      <w:pPr>
        <w:numPr>
          <w:ilvl w:val="0"/>
          <w:numId w:val="11"/>
        </w:numPr>
        <w:rPr>
          <w:sz w:val="20"/>
          <w:szCs w:val="20"/>
        </w:rPr>
      </w:pPr>
      <w:r w:rsidRPr="008A5256">
        <w:rPr>
          <w:b/>
          <w:bCs/>
          <w:sz w:val="20"/>
          <w:szCs w:val="20"/>
        </w:rPr>
        <w:t>Strength of opposition</w:t>
      </w:r>
      <w:r w:rsidRPr="008A5256">
        <w:rPr>
          <w:b/>
          <w:bCs/>
          <w:sz w:val="20"/>
          <w:szCs w:val="20"/>
        </w:rPr>
        <w:br/>
      </w:r>
      <w:r w:rsidRPr="008A5256">
        <w:rPr>
          <w:sz w:val="20"/>
          <w:szCs w:val="20"/>
        </w:rPr>
        <w:t xml:space="preserve"> Evidence: The Carozzi case (#4) documents years of non-compliance from a single company without an organised industry response; no locked source documents a broader industry lobbying bloc or coordinated counter-campaign anywhere in the case.</w:t>
      </w:r>
      <w:r w:rsidRPr="008A5256">
        <w:rPr>
          <w:sz w:val="20"/>
          <w:szCs w:val="20"/>
        </w:rPr>
        <w:br/>
        <w:t xml:space="preserve"> Confidence: Medium — well-evidenced for the specific documented case, but absence of broader opposition data limits generalisation across the full multi-country campaign.</w:t>
      </w:r>
      <w:r w:rsidRPr="008A5256">
        <w:rPr>
          <w:sz w:val="20"/>
          <w:szCs w:val="20"/>
        </w:rPr>
        <w:br/>
        <w:t xml:space="preserve"> Source Tag: #4.</w:t>
      </w:r>
    </w:p>
    <w:p w14:paraId="4ED97B52" w14:textId="77777777" w:rsidR="00750A6A" w:rsidRPr="008A5256" w:rsidRDefault="00750A6A" w:rsidP="00043AF9">
      <w:pPr>
        <w:numPr>
          <w:ilvl w:val="0"/>
          <w:numId w:val="11"/>
        </w:numPr>
        <w:rPr>
          <w:sz w:val="20"/>
          <w:szCs w:val="20"/>
        </w:rPr>
      </w:pPr>
      <w:r w:rsidRPr="008A5256">
        <w:rPr>
          <w:b/>
          <w:bCs/>
          <w:sz w:val="20"/>
          <w:szCs w:val="20"/>
        </w:rPr>
        <w:t>Type of opposition</w:t>
      </w:r>
      <w:r w:rsidRPr="008A5256">
        <w:rPr>
          <w:b/>
          <w:bCs/>
          <w:sz w:val="20"/>
          <w:szCs w:val="20"/>
        </w:rPr>
        <w:br/>
      </w:r>
      <w:r w:rsidRPr="008A5256">
        <w:rPr>
          <w:sz w:val="20"/>
          <w:szCs w:val="20"/>
        </w:rPr>
        <w:t xml:space="preserve"> Evidence: #4 documents prolonged silent non-compliance (Carozzi); #3 documents that roughly half of surveyed companies do not respond to annual accountability questionnaires, and several cite cost/supply constraints as reasons for delay.</w:t>
      </w:r>
      <w:r w:rsidRPr="008A5256">
        <w:rPr>
          <w:sz w:val="20"/>
          <w:szCs w:val="20"/>
        </w:rPr>
        <w:br/>
        <w:t xml:space="preserve"> Confidence: High — multiple distinct passive-resistance patterns directly evidenced.</w:t>
      </w:r>
      <w:r w:rsidRPr="008A5256">
        <w:rPr>
          <w:sz w:val="20"/>
          <w:szCs w:val="20"/>
        </w:rPr>
        <w:br/>
        <w:t xml:space="preserve"> Source Tag: #4, #3, #8.</w:t>
      </w:r>
    </w:p>
    <w:p w14:paraId="085CD7E0" w14:textId="77777777" w:rsidR="00750A6A" w:rsidRPr="008A5256" w:rsidRDefault="00750A6A" w:rsidP="00043AF9">
      <w:pPr>
        <w:numPr>
          <w:ilvl w:val="0"/>
          <w:numId w:val="11"/>
        </w:numPr>
        <w:rPr>
          <w:sz w:val="20"/>
          <w:szCs w:val="20"/>
        </w:rPr>
      </w:pPr>
      <w:r w:rsidRPr="008A5256">
        <w:rPr>
          <w:b/>
          <w:bCs/>
          <w:sz w:val="20"/>
          <w:szCs w:val="20"/>
        </w:rPr>
        <w:t>Visibility of harm to the public</w:t>
      </w:r>
      <w:r w:rsidRPr="008A5256">
        <w:rPr>
          <w:b/>
          <w:bCs/>
          <w:sz w:val="20"/>
          <w:szCs w:val="20"/>
        </w:rPr>
        <w:br/>
      </w:r>
      <w:r w:rsidRPr="008A5256">
        <w:rPr>
          <w:sz w:val="20"/>
          <w:szCs w:val="20"/>
        </w:rPr>
        <w:t xml:space="preserve"> Evidence: #4 explicitly documents Sinergia commissioning investigative fieldwork specifically because the harm (caged-hen confinement, neighbouring community health effects) was not otherwise visible or known; #5 similarly documents a first-of-its-kind investigation revealing previously undocumented pig-farm conditions in Brazil.</w:t>
      </w:r>
      <w:r w:rsidRPr="008A5256">
        <w:rPr>
          <w:sz w:val="20"/>
          <w:szCs w:val="20"/>
        </w:rPr>
        <w:br/>
        <w:t xml:space="preserve"> Confidence: High — directly evidenced as a deliberate visibility-building exercise rather than a pre-existing public concern.</w:t>
      </w:r>
      <w:r w:rsidRPr="008A5256">
        <w:rPr>
          <w:sz w:val="20"/>
          <w:szCs w:val="20"/>
        </w:rPr>
        <w:br/>
        <w:t xml:space="preserve"> Source Tag: #4, #5.</w:t>
      </w:r>
    </w:p>
    <w:p w14:paraId="6CD2731B" w14:textId="77777777" w:rsidR="00750A6A" w:rsidRPr="008A5256" w:rsidRDefault="00750A6A" w:rsidP="00043AF9">
      <w:pPr>
        <w:numPr>
          <w:ilvl w:val="0"/>
          <w:numId w:val="11"/>
        </w:numPr>
        <w:rPr>
          <w:sz w:val="20"/>
          <w:szCs w:val="20"/>
        </w:rPr>
      </w:pPr>
      <w:r w:rsidRPr="008A5256">
        <w:rPr>
          <w:b/>
          <w:bCs/>
          <w:sz w:val="20"/>
          <w:szCs w:val="20"/>
        </w:rPr>
        <w:t>Degree of behaviour change required</w:t>
      </w:r>
      <w:r w:rsidRPr="008A5256">
        <w:rPr>
          <w:b/>
          <w:bCs/>
          <w:sz w:val="20"/>
          <w:szCs w:val="20"/>
        </w:rPr>
        <w:br/>
      </w:r>
      <w:r w:rsidRPr="008A5256">
        <w:rPr>
          <w:sz w:val="20"/>
          <w:szCs w:val="20"/>
        </w:rPr>
        <w:t xml:space="preserve"> Evidence: #1 and #2 document the ask as supplier/sourcing-policy changes for companies; #5 documents that full pig-welfare reform (ending gestation crates, mutilation practices) requires more substantial production-process change than egg sourcing alone.</w:t>
      </w:r>
      <w:r w:rsidRPr="008A5256">
        <w:rPr>
          <w:sz w:val="20"/>
          <w:szCs w:val="20"/>
        </w:rPr>
        <w:br/>
        <w:t xml:space="preserve"> Confidence: Medium — clearly evidenced at the level of corporate sourcing decisions, but the case does not provide a single comparative measure across both egg and pig strands.</w:t>
      </w:r>
      <w:r w:rsidRPr="008A5256">
        <w:rPr>
          <w:sz w:val="20"/>
          <w:szCs w:val="20"/>
        </w:rPr>
        <w:br/>
        <w:t xml:space="preserve"> Source Tag: #1, #2, #5.</w:t>
      </w:r>
    </w:p>
    <w:p w14:paraId="6096BEA1" w14:textId="77777777" w:rsidR="00750A6A" w:rsidRPr="008A5256" w:rsidRDefault="00750A6A" w:rsidP="00043AF9">
      <w:pPr>
        <w:numPr>
          <w:ilvl w:val="0"/>
          <w:numId w:val="11"/>
        </w:numPr>
        <w:rPr>
          <w:sz w:val="20"/>
          <w:szCs w:val="20"/>
        </w:rPr>
      </w:pPr>
      <w:r w:rsidRPr="008A5256">
        <w:rPr>
          <w:b/>
          <w:bCs/>
          <w:sz w:val="20"/>
          <w:szCs w:val="20"/>
        </w:rPr>
        <w:t>Role of policy vs market vs cultural shift</w:t>
      </w:r>
      <w:r w:rsidRPr="008A5256">
        <w:rPr>
          <w:b/>
          <w:bCs/>
          <w:sz w:val="20"/>
          <w:szCs w:val="20"/>
        </w:rPr>
        <w:br/>
      </w:r>
      <w:r w:rsidRPr="008A5256">
        <w:rPr>
          <w:sz w:val="20"/>
          <w:szCs w:val="20"/>
        </w:rPr>
        <w:t xml:space="preserve"> Evidence: All early campaign sources (#1, #2, #4) describe direct corporate negotiation/campaign pressure as the mechanism; #8 documents Brazil's 2020 federal guidelines functioning as a long-horizon legal backstop that the campaign's accountability work (#8) explicitly works alongside, not in place of, ongoing corporate pressure.</w:t>
      </w:r>
      <w:r w:rsidRPr="008A5256">
        <w:rPr>
          <w:sz w:val="20"/>
          <w:szCs w:val="20"/>
        </w:rPr>
        <w:br/>
        <w:t xml:space="preserve"> Confidence: High — both mechanisms and their relative weighting are directly evidenced.</w:t>
      </w:r>
      <w:r w:rsidRPr="008A5256">
        <w:rPr>
          <w:sz w:val="20"/>
          <w:szCs w:val="20"/>
        </w:rPr>
        <w:br/>
        <w:t xml:space="preserve"> Source Tag: #1, #2, #4, #8.</w:t>
      </w:r>
    </w:p>
    <w:p w14:paraId="121C0F04" w14:textId="77777777" w:rsidR="00750A6A" w:rsidRPr="008A5256" w:rsidRDefault="00750A6A" w:rsidP="00043AF9">
      <w:pPr>
        <w:numPr>
          <w:ilvl w:val="0"/>
          <w:numId w:val="11"/>
        </w:numPr>
        <w:rPr>
          <w:sz w:val="20"/>
          <w:szCs w:val="20"/>
        </w:rPr>
      </w:pPr>
      <w:r w:rsidRPr="008A5256">
        <w:rPr>
          <w:b/>
          <w:bCs/>
          <w:sz w:val="20"/>
          <w:szCs w:val="20"/>
        </w:rPr>
        <w:lastRenderedPageBreak/>
        <w:t>Coalition size/type/non-obvious allies</w:t>
      </w:r>
      <w:r w:rsidRPr="008A5256">
        <w:rPr>
          <w:b/>
          <w:bCs/>
          <w:sz w:val="20"/>
          <w:szCs w:val="20"/>
        </w:rPr>
        <w:br/>
      </w:r>
      <w:r w:rsidRPr="008A5256">
        <w:rPr>
          <w:sz w:val="20"/>
          <w:szCs w:val="20"/>
        </w:rPr>
        <w:t xml:space="preserve"> Evidence: #1 explicitly documents membership in the Open Wing Alliance as a structural resource for shared tactics and training; #6 documents an unusual non-obvious-ally angle — direct engagement with EU trade-policy debate as a lever for animal welfare standards in a South American campaign.</w:t>
      </w:r>
      <w:r w:rsidRPr="008A5256">
        <w:rPr>
          <w:sz w:val="20"/>
          <w:szCs w:val="20"/>
        </w:rPr>
        <w:br/>
        <w:t xml:space="preserve"> Confidence: High — both forms of coalition/ally-building directly and explicitly documented.</w:t>
      </w:r>
      <w:r w:rsidRPr="008A5256">
        <w:rPr>
          <w:sz w:val="20"/>
          <w:szCs w:val="20"/>
        </w:rPr>
        <w:br/>
        <w:t xml:space="preserve"> Source Tag: #1, #6.</w:t>
      </w:r>
    </w:p>
    <w:p w14:paraId="5978CED7" w14:textId="77777777" w:rsidR="00750A6A" w:rsidRPr="008A5256" w:rsidRDefault="00750A6A" w:rsidP="00043AF9">
      <w:pPr>
        <w:numPr>
          <w:ilvl w:val="0"/>
          <w:numId w:val="11"/>
        </w:numPr>
        <w:rPr>
          <w:sz w:val="20"/>
          <w:szCs w:val="20"/>
        </w:rPr>
      </w:pPr>
      <w:r w:rsidRPr="008A5256">
        <w:rPr>
          <w:b/>
          <w:bCs/>
          <w:sz w:val="20"/>
          <w:szCs w:val="20"/>
        </w:rPr>
        <w:t>Economic disruption required</w:t>
      </w:r>
      <w:r w:rsidRPr="008A5256">
        <w:rPr>
          <w:b/>
          <w:bCs/>
          <w:sz w:val="20"/>
          <w:szCs w:val="20"/>
        </w:rPr>
        <w:br/>
      </w:r>
      <w:r w:rsidRPr="008A5256">
        <w:rPr>
          <w:sz w:val="20"/>
          <w:szCs w:val="20"/>
        </w:rPr>
        <w:t xml:space="preserve"> Evidence: #3 documents companies citing higher costs and limited supply availability as transition obstacles; #8 documents suppliers citing financing, facility planning, and logistics as transition difficulties — both indicating real but bounded (not business-model-level) economic disruption.</w:t>
      </w:r>
      <w:r w:rsidRPr="008A5256">
        <w:rPr>
          <w:sz w:val="20"/>
          <w:szCs w:val="20"/>
        </w:rPr>
        <w:br/>
        <w:t xml:space="preserve"> Confidence: High — directly and specifically documented by companies themselves via the monitoring sources.</w:t>
      </w:r>
      <w:r w:rsidRPr="008A5256">
        <w:rPr>
          <w:sz w:val="20"/>
          <w:szCs w:val="20"/>
        </w:rPr>
        <w:br/>
        <w:t xml:space="preserve"> Source Tag: #3, #8.</w:t>
      </w:r>
    </w:p>
    <w:p w14:paraId="0AA3E567" w14:textId="77777777" w:rsidR="00750A6A" w:rsidRPr="008A5256" w:rsidRDefault="00750A6A" w:rsidP="00043AF9">
      <w:pPr>
        <w:numPr>
          <w:ilvl w:val="0"/>
          <w:numId w:val="11"/>
        </w:numPr>
        <w:rPr>
          <w:sz w:val="20"/>
          <w:szCs w:val="20"/>
        </w:rPr>
      </w:pPr>
      <w:r w:rsidRPr="008A5256">
        <w:rPr>
          <w:b/>
          <w:bCs/>
          <w:sz w:val="20"/>
          <w:szCs w:val="20"/>
        </w:rPr>
        <w:t>Speed of change achieved</w:t>
      </w:r>
      <w:r w:rsidRPr="008A5256">
        <w:rPr>
          <w:b/>
          <w:bCs/>
          <w:sz w:val="20"/>
          <w:szCs w:val="20"/>
        </w:rPr>
        <w:br/>
      </w:r>
      <w:r w:rsidRPr="008A5256">
        <w:rPr>
          <w:sz w:val="20"/>
          <w:szCs w:val="20"/>
        </w:rPr>
        <w:t xml:space="preserve"> Evidence: #2 documents some companies committing within months of private notification (no public campaign needed); #4 documents Carozzi remaining non-compliant for 3+ years (2017–2020+) despite sustained campaigning; #8 documents incremental, multi-year progress in Brazil's pig sector through 2023.</w:t>
      </w:r>
      <w:r w:rsidRPr="008A5256">
        <w:rPr>
          <w:sz w:val="20"/>
          <w:szCs w:val="20"/>
        </w:rPr>
        <w:br/>
        <w:t xml:space="preserve"> Confidence: High — clear contrast directly evidenced with specific dated examples at both speed extremes.</w:t>
      </w:r>
      <w:r w:rsidRPr="008A5256">
        <w:rPr>
          <w:sz w:val="20"/>
          <w:szCs w:val="20"/>
        </w:rPr>
        <w:br/>
        <w:t xml:space="preserve"> Source Tag: #1, #2, #4, #8.</w:t>
      </w:r>
    </w:p>
    <w:p w14:paraId="4CA444FC" w14:textId="77777777" w:rsidR="00750A6A" w:rsidRPr="008A5256" w:rsidRDefault="00750A6A" w:rsidP="00043AF9">
      <w:pPr>
        <w:numPr>
          <w:ilvl w:val="0"/>
          <w:numId w:val="11"/>
        </w:numPr>
        <w:rPr>
          <w:sz w:val="20"/>
          <w:szCs w:val="20"/>
        </w:rPr>
      </w:pPr>
      <w:r w:rsidRPr="008A5256">
        <w:rPr>
          <w:b/>
          <w:bCs/>
          <w:sz w:val="20"/>
          <w:szCs w:val="20"/>
        </w:rPr>
        <w:t>Scale of change achieved</w:t>
      </w:r>
      <w:r w:rsidRPr="008A5256">
        <w:rPr>
          <w:b/>
          <w:bCs/>
          <w:sz w:val="20"/>
          <w:szCs w:val="20"/>
        </w:rPr>
        <w:br/>
      </w:r>
      <w:r w:rsidRPr="008A5256">
        <w:rPr>
          <w:sz w:val="20"/>
          <w:szCs w:val="20"/>
        </w:rPr>
        <w:t xml:space="preserve"> Evidence: #3 documents operations across 8 countries with hundreds of cumulative corporate commitments and an estimate of hundreds of millions of animals nominally affected; #8 documents that, even among companies that had already made public commitments, roughly half failed to respond to accountability monitoring — indicating breadth of formal commitment outpaces verified implementation.</w:t>
      </w:r>
      <w:r w:rsidRPr="008A5256">
        <w:rPr>
          <w:sz w:val="20"/>
          <w:szCs w:val="20"/>
        </w:rPr>
        <w:br/>
        <w:t xml:space="preserve"> Confidence: High — both the breadth and its verification gap are directly and specifically evidenced.</w:t>
      </w:r>
      <w:r w:rsidRPr="008A5256">
        <w:rPr>
          <w:sz w:val="20"/>
          <w:szCs w:val="20"/>
        </w:rPr>
        <w:br/>
        <w:t xml:space="preserve"> Source Tag: #3, #7, #8.</w:t>
      </w:r>
    </w:p>
    <w:p w14:paraId="54F74399" w14:textId="0AF3AF3E" w:rsidR="00750A6A" w:rsidRPr="008A5256" w:rsidRDefault="00750A6A" w:rsidP="00043AF9">
      <w:pPr>
        <w:numPr>
          <w:ilvl w:val="0"/>
          <w:numId w:val="11"/>
        </w:numPr>
        <w:rPr>
          <w:sz w:val="20"/>
          <w:szCs w:val="20"/>
        </w:rPr>
      </w:pPr>
      <w:r w:rsidRPr="008A5256">
        <w:rPr>
          <w:b/>
          <w:bCs/>
          <w:sz w:val="20"/>
          <w:szCs w:val="20"/>
        </w:rPr>
        <w:t>Public sentiment starting point</w:t>
      </w:r>
      <w:r w:rsidRPr="008A5256">
        <w:rPr>
          <w:b/>
          <w:bCs/>
          <w:sz w:val="20"/>
          <w:szCs w:val="20"/>
        </w:rPr>
        <w:br/>
      </w:r>
      <w:r w:rsidR="00B61B15" w:rsidRPr="008A5256">
        <w:rPr>
          <w:sz w:val="20"/>
          <w:szCs w:val="20"/>
        </w:rPr>
        <w:t>Evidence: Faunalytics, "Attitudes Toward Farmed Animals in the BRIC Countries," 2018 — the primary source, reported via ACE's "Animal Advocacy in Brazil" (May 2019) — found 89% of Brazilians believe it is important that animals used for meat are well cared for, 70% would support a law requiring humane treatment, and Brazilians had the most pro-animal attitudes of all BRIC countries surveyed. Yunes, Keyserlingk &amp; Hötzel (</w:t>
      </w:r>
      <w:r w:rsidR="00B61B15" w:rsidRPr="008A5256">
        <w:rPr>
          <w:i/>
          <w:iCs/>
          <w:sz w:val="20"/>
          <w:szCs w:val="20"/>
        </w:rPr>
        <w:t>Animals</w:t>
      </w:r>
      <w:r w:rsidR="00B61B15" w:rsidRPr="008A5256">
        <w:rPr>
          <w:sz w:val="20"/>
          <w:szCs w:val="20"/>
        </w:rPr>
        <w:t>, Vol. 7(10):75, 2017) found 79% of Brazilians believe farmed animals are treated poorly, and Cardoso et al. (2017) found Brazilian citizens prefer cage-free and free-range systems when asked about production practices. For Sinergia's other primary markets, Estévez-Moreno et al. (</w:t>
      </w:r>
      <w:r w:rsidR="00B61B15" w:rsidRPr="008A5256">
        <w:rPr>
          <w:i/>
          <w:iCs/>
          <w:sz w:val="20"/>
          <w:szCs w:val="20"/>
        </w:rPr>
        <w:t>Meat Science</w:t>
      </w:r>
      <w:r w:rsidR="00B61B15" w:rsidRPr="008A5256">
        <w:rPr>
          <w:sz w:val="20"/>
          <w:szCs w:val="20"/>
        </w:rPr>
        <w:t>, Vol. 187, 2022) surveyed consumers across Argentina, Chile, Colombia, Ecuador, Peru and Bolivia, finding strong agreement that farm animal welfare should be safeguarded in line with the Five Freedoms — published within the campaign window but capturing pre-existing cross-country attitudes. ACE Brazil also notes a cultural counterweight: meat is strongly associated with status and wealth in Brazil, and awareness of specific production practices (caging, confinement) was low pre-campaign, making the starting point latently sympathetic but not yet activated.</w:t>
      </w:r>
      <w:r w:rsidR="00B61B15" w:rsidRPr="008A5256">
        <w:rPr>
          <w:sz w:val="20"/>
          <w:szCs w:val="20"/>
        </w:rPr>
        <w:br/>
        <w:t>Confidence: High — multiple independent pre-campaign sources across Sinergia's primary operating countries converge on a strongly sympathetic but low-awareness starting point; Faunalytics BRIC 2018 is the strongest single source; Yunes et al. and Cardoso et al. are peer-reviewed corroboration.</w:t>
      </w:r>
      <w:r w:rsidR="00B61B15" w:rsidRPr="008A5256">
        <w:rPr>
          <w:sz w:val="20"/>
          <w:szCs w:val="20"/>
        </w:rPr>
        <w:br/>
        <w:t>Source Tag: Faunalytics BRIC 2018 (via ACE Brazil blog 2019); Yunes et al. 2017; Cardoso et al. 2017; Estévez-Moreno et al. 2022.</w:t>
      </w:r>
    </w:p>
    <w:p w14:paraId="2CE92C6F" w14:textId="77777777" w:rsidR="00750A6A" w:rsidRPr="008A5256" w:rsidRDefault="00750A6A" w:rsidP="00043AF9">
      <w:pPr>
        <w:numPr>
          <w:ilvl w:val="0"/>
          <w:numId w:val="11"/>
        </w:numPr>
        <w:rPr>
          <w:sz w:val="20"/>
          <w:szCs w:val="20"/>
        </w:rPr>
      </w:pPr>
      <w:r w:rsidRPr="008A5256">
        <w:rPr>
          <w:b/>
          <w:bCs/>
          <w:sz w:val="20"/>
          <w:szCs w:val="20"/>
        </w:rPr>
        <w:t>Legal/regulatory landscape</w:t>
      </w:r>
      <w:r w:rsidRPr="008A5256">
        <w:rPr>
          <w:b/>
          <w:bCs/>
          <w:sz w:val="20"/>
          <w:szCs w:val="20"/>
        </w:rPr>
        <w:br/>
      </w:r>
      <w:r w:rsidRPr="008A5256">
        <w:rPr>
          <w:sz w:val="20"/>
          <w:szCs w:val="20"/>
        </w:rPr>
        <w:t xml:space="preserve"> Evidence: #8 documents that Brazil introduced federal guidelines in 2020 banning ear notching, teeth clipping, and gestation crates for mother pigs — but with a 2045 compliance deadline, meaning the legal landscape shifted from largely absent to nominally supportive but practically non-binding in the near term.</w:t>
      </w:r>
      <w:r w:rsidRPr="008A5256">
        <w:rPr>
          <w:sz w:val="20"/>
          <w:szCs w:val="20"/>
        </w:rPr>
        <w:br/>
        <w:t xml:space="preserve"> Confidence: High — directly and specifically documented, including the critical detail of the long compliance horizon.</w:t>
      </w:r>
      <w:r w:rsidRPr="008A5256">
        <w:rPr>
          <w:sz w:val="20"/>
          <w:szCs w:val="20"/>
        </w:rPr>
        <w:br/>
        <w:t xml:space="preserve"> Source Tag: #8.</w:t>
      </w:r>
    </w:p>
    <w:p w14:paraId="085A6EBA" w14:textId="77777777" w:rsidR="00750A6A" w:rsidRPr="008A5256" w:rsidRDefault="00750A6A" w:rsidP="00043AF9">
      <w:pPr>
        <w:numPr>
          <w:ilvl w:val="0"/>
          <w:numId w:val="11"/>
        </w:numPr>
        <w:rPr>
          <w:sz w:val="20"/>
          <w:szCs w:val="20"/>
        </w:rPr>
      </w:pPr>
      <w:r w:rsidRPr="008A5256">
        <w:rPr>
          <w:b/>
          <w:bCs/>
          <w:sz w:val="20"/>
          <w:szCs w:val="20"/>
        </w:rPr>
        <w:lastRenderedPageBreak/>
        <w:t>Narrative dominance</w:t>
      </w:r>
      <w:r w:rsidRPr="008A5256">
        <w:rPr>
          <w:b/>
          <w:bCs/>
          <w:sz w:val="20"/>
          <w:szCs w:val="20"/>
        </w:rPr>
        <w:br/>
      </w:r>
      <w:r w:rsidRPr="008A5256">
        <w:rPr>
          <w:sz w:val="20"/>
          <w:szCs w:val="20"/>
        </w:rPr>
        <w:t xml:space="preserve"> Evidence: No locked source documents an entrenched pro-confinement public narrative requiring active displacement at campaign start; #6 (most recent in-window source) documents an emerging competing narrative — the EU-Mercosur trade agreement being publicly framed as a historic economic win, with animal welfare implications "less discussed."</w:t>
      </w:r>
      <w:r w:rsidRPr="008A5256">
        <w:rPr>
          <w:sz w:val="20"/>
          <w:szCs w:val="20"/>
        </w:rPr>
        <w:br/>
        <w:t xml:space="preserve"> Confidence: Medium — strong direct evidence for the absence of an initial counter-narrative and for the emergence of a later competing one, but no source tracks narrative dominance continuously across the full multi-year window.</w:t>
      </w:r>
      <w:r w:rsidRPr="008A5256">
        <w:rPr>
          <w:sz w:val="20"/>
          <w:szCs w:val="20"/>
        </w:rPr>
        <w:br/>
        <w:t xml:space="preserve"> Source Tag: #6.</w:t>
      </w:r>
    </w:p>
    <w:p w14:paraId="1056853A" w14:textId="77777777" w:rsidR="00750A6A" w:rsidRPr="008A5256" w:rsidRDefault="00750A6A" w:rsidP="00043AF9">
      <w:pPr>
        <w:numPr>
          <w:ilvl w:val="0"/>
          <w:numId w:val="11"/>
        </w:numPr>
        <w:rPr>
          <w:sz w:val="20"/>
          <w:szCs w:val="20"/>
        </w:rPr>
      </w:pPr>
      <w:r w:rsidRPr="008A5256">
        <w:rPr>
          <w:b/>
          <w:bCs/>
          <w:sz w:val="20"/>
          <w:szCs w:val="20"/>
        </w:rPr>
        <w:t>Notable Tactics</w:t>
      </w:r>
      <w:r w:rsidRPr="008A5256">
        <w:rPr>
          <w:b/>
          <w:bCs/>
          <w:sz w:val="20"/>
          <w:szCs w:val="20"/>
        </w:rPr>
        <w:br/>
      </w:r>
      <w:r w:rsidRPr="008A5256">
        <w:rPr>
          <w:sz w:val="20"/>
          <w:szCs w:val="20"/>
        </w:rPr>
        <w:t xml:space="preserve"> a. Pre-launch private notification before public campaign.</w:t>
      </w:r>
      <w:r w:rsidRPr="008A5256">
        <w:rPr>
          <w:sz w:val="20"/>
          <w:szCs w:val="20"/>
        </w:rPr>
        <w:br/>
        <w:t xml:space="preserve"> Evidence: #1 directly documents this as a deliberate, named strategy with a specific Chilean example of success without a public campaign being launched at all.</w:t>
      </w:r>
      <w:r w:rsidRPr="008A5256">
        <w:rPr>
          <w:sz w:val="20"/>
          <w:szCs w:val="20"/>
        </w:rPr>
        <w:br/>
        <w:t xml:space="preserve"> Confidence: High. Source Tag: #1.</w:t>
      </w:r>
      <w:r w:rsidRPr="008A5256">
        <w:rPr>
          <w:sz w:val="20"/>
          <w:szCs w:val="20"/>
        </w:rPr>
        <w:br/>
        <w:t xml:space="preserve"> b. Undercover supply-chain investigation with geolocation evidence.</w:t>
      </w:r>
      <w:r w:rsidRPr="008A5256">
        <w:rPr>
          <w:sz w:val="20"/>
          <w:szCs w:val="20"/>
        </w:rPr>
        <w:br/>
        <w:t xml:space="preserve"> Evidence: #4 documents specific GPS coordinates and dated fieldwork tracing a named retailer's supplier.</w:t>
      </w:r>
      <w:r w:rsidRPr="008A5256">
        <w:rPr>
          <w:sz w:val="20"/>
          <w:szCs w:val="20"/>
        </w:rPr>
        <w:br/>
        <w:t xml:space="preserve"> Confidence: High. Source Tag: #4.</w:t>
      </w:r>
      <w:r w:rsidRPr="008A5256">
        <w:rPr>
          <w:sz w:val="20"/>
          <w:szCs w:val="20"/>
        </w:rPr>
        <w:br/>
        <w:t xml:space="preserve"> c. Sustained annual public scorecard/ranking.</w:t>
      </w:r>
      <w:r w:rsidRPr="008A5256">
        <w:rPr>
          <w:sz w:val="20"/>
          <w:szCs w:val="20"/>
        </w:rPr>
        <w:br/>
        <w:t xml:space="preserve"> Evidence: #3 and #8 both document Sinergia's Cage-Free Tracker and Pigs in Focus/Porcos em Foco as recurring, multi-year accountability tools.</w:t>
      </w:r>
      <w:r w:rsidRPr="008A5256">
        <w:rPr>
          <w:sz w:val="20"/>
          <w:szCs w:val="20"/>
        </w:rPr>
        <w:br/>
        <w:t xml:space="preserve"> Confidence: High. Source Tag: #3, #8.</w:t>
      </w:r>
      <w:r w:rsidRPr="008A5256">
        <w:rPr>
          <w:sz w:val="20"/>
          <w:szCs w:val="20"/>
        </w:rPr>
        <w:br/>
        <w:t xml:space="preserve"> d. Leveraging international coalition membership.</w:t>
      </w:r>
      <w:r w:rsidRPr="008A5256">
        <w:rPr>
          <w:sz w:val="20"/>
          <w:szCs w:val="20"/>
        </w:rPr>
        <w:br/>
        <w:t xml:space="preserve"> Evidence: #1 directly documents Open Wing Alliance participation, including a specific named summit and training courses.</w:t>
      </w:r>
      <w:r w:rsidRPr="008A5256">
        <w:rPr>
          <w:sz w:val="20"/>
          <w:szCs w:val="20"/>
        </w:rPr>
        <w:br/>
        <w:t xml:space="preserve"> Confidence: High. Source Tag: #1.</w:t>
      </w:r>
      <w:r w:rsidRPr="008A5256">
        <w:rPr>
          <w:sz w:val="20"/>
          <w:szCs w:val="20"/>
        </w:rPr>
        <w:br/>
        <w:t xml:space="preserve"> e. Strategic sequencing of campaign issues within a country.</w:t>
      </w:r>
      <w:r w:rsidRPr="008A5256">
        <w:rPr>
          <w:sz w:val="20"/>
          <w:szCs w:val="20"/>
        </w:rPr>
        <w:br/>
        <w:t xml:space="preserve"> Evidence: #3 directly documents Sinergia's stated rationale for delaying broiler chicken campaigns until egg-laying hen and pig commitments are closer to implementation.</w:t>
      </w:r>
      <w:r w:rsidRPr="008A5256">
        <w:rPr>
          <w:sz w:val="20"/>
          <w:szCs w:val="20"/>
        </w:rPr>
        <w:br/>
        <w:t xml:space="preserve"> Confidence: High. Source Tag: #3.</w:t>
      </w:r>
    </w:p>
    <w:p w14:paraId="6241C9A0" w14:textId="77777777" w:rsidR="00750A6A" w:rsidRPr="008A5256" w:rsidRDefault="00641196" w:rsidP="00750A6A">
      <w:pPr>
        <w:rPr>
          <w:sz w:val="20"/>
          <w:szCs w:val="20"/>
        </w:rPr>
      </w:pPr>
      <w:r>
        <w:rPr>
          <w:sz w:val="20"/>
          <w:szCs w:val="20"/>
        </w:rPr>
        <w:pict w14:anchorId="295DE8A6">
          <v:rect id="_x0000_i1031" style="width:0;height:1.5pt" o:hralign="center" o:hrstd="t" o:hr="t" fillcolor="#a0a0a0" stroked="f"/>
        </w:pict>
      </w:r>
    </w:p>
    <w:p w14:paraId="10E0EAE0" w14:textId="77777777" w:rsidR="00750A6A" w:rsidRPr="008A5256" w:rsidRDefault="00750A6A" w:rsidP="00750A6A">
      <w:pPr>
        <w:rPr>
          <w:b/>
          <w:bCs/>
          <w:sz w:val="20"/>
          <w:szCs w:val="20"/>
        </w:rPr>
      </w:pPr>
      <w:r w:rsidRPr="008A5256">
        <w:rPr>
          <w:b/>
          <w:bCs/>
          <w:sz w:val="20"/>
          <w:szCs w:val="20"/>
        </w:rPr>
        <w:t>SOURCE-TO-VARIABLE MAPPING</w:t>
      </w:r>
    </w:p>
    <w:tbl>
      <w:tblPr>
        <w:tblW w:w="0" w:type="auto"/>
        <w:tblCellMar>
          <w:top w:w="15" w:type="dxa"/>
          <w:left w:w="15" w:type="dxa"/>
          <w:bottom w:w="15" w:type="dxa"/>
          <w:right w:w="15" w:type="dxa"/>
        </w:tblCellMar>
        <w:tblLook w:val="04A0" w:firstRow="1" w:lastRow="0" w:firstColumn="1" w:lastColumn="0" w:noHBand="0" w:noVBand="1"/>
      </w:tblPr>
      <w:tblGrid>
        <w:gridCol w:w="3613"/>
        <w:gridCol w:w="6853"/>
      </w:tblGrid>
      <w:tr w:rsidR="00750A6A" w:rsidRPr="008A5256" w14:paraId="4FE650E3" w14:textId="77777777">
        <w:trPr>
          <w:trHeight w:val="515"/>
        </w:trPr>
        <w:tc>
          <w:tcPr>
            <w:tcW w:w="0" w:type="auto"/>
            <w:tcMar>
              <w:top w:w="100" w:type="dxa"/>
              <w:left w:w="100" w:type="dxa"/>
              <w:bottom w:w="100" w:type="dxa"/>
              <w:right w:w="100" w:type="dxa"/>
            </w:tcMar>
            <w:hideMark/>
          </w:tcPr>
          <w:p w14:paraId="1F9F4E7F" w14:textId="77777777" w:rsidR="00750A6A" w:rsidRPr="008A5256" w:rsidRDefault="00750A6A" w:rsidP="00750A6A">
            <w:pPr>
              <w:rPr>
                <w:sz w:val="20"/>
                <w:szCs w:val="20"/>
              </w:rPr>
            </w:pPr>
            <w:r w:rsidRPr="008A5256">
              <w:rPr>
                <w:b/>
                <w:bCs/>
                <w:sz w:val="20"/>
                <w:szCs w:val="20"/>
              </w:rPr>
              <w:t>Source</w:t>
            </w:r>
          </w:p>
        </w:tc>
        <w:tc>
          <w:tcPr>
            <w:tcW w:w="0" w:type="auto"/>
            <w:tcMar>
              <w:top w:w="100" w:type="dxa"/>
              <w:left w:w="100" w:type="dxa"/>
              <w:bottom w:w="100" w:type="dxa"/>
              <w:right w:w="100" w:type="dxa"/>
            </w:tcMar>
            <w:hideMark/>
          </w:tcPr>
          <w:p w14:paraId="3D931DAD" w14:textId="77777777" w:rsidR="00750A6A" w:rsidRPr="008A5256" w:rsidRDefault="00750A6A" w:rsidP="00750A6A">
            <w:pPr>
              <w:rPr>
                <w:sz w:val="20"/>
                <w:szCs w:val="20"/>
              </w:rPr>
            </w:pPr>
            <w:r w:rsidRPr="008A5256">
              <w:rPr>
                <w:b/>
                <w:bCs/>
                <w:sz w:val="20"/>
                <w:szCs w:val="20"/>
              </w:rPr>
              <w:t>Variables</w:t>
            </w:r>
          </w:p>
        </w:tc>
      </w:tr>
      <w:tr w:rsidR="00750A6A" w:rsidRPr="008A5256" w14:paraId="76C34D47" w14:textId="77777777">
        <w:trPr>
          <w:trHeight w:val="800"/>
        </w:trPr>
        <w:tc>
          <w:tcPr>
            <w:tcW w:w="0" w:type="auto"/>
            <w:tcMar>
              <w:top w:w="100" w:type="dxa"/>
              <w:left w:w="100" w:type="dxa"/>
              <w:bottom w:w="100" w:type="dxa"/>
              <w:right w:w="100" w:type="dxa"/>
            </w:tcMar>
            <w:hideMark/>
          </w:tcPr>
          <w:p w14:paraId="51B9E28A" w14:textId="77777777" w:rsidR="00750A6A" w:rsidRPr="008A5256" w:rsidRDefault="00750A6A" w:rsidP="00750A6A">
            <w:pPr>
              <w:rPr>
                <w:sz w:val="20"/>
                <w:szCs w:val="20"/>
              </w:rPr>
            </w:pPr>
            <w:r w:rsidRPr="008A5256">
              <w:rPr>
                <w:sz w:val="20"/>
                <w:szCs w:val="20"/>
              </w:rPr>
              <w:t>#1 ACE interview, Galvani, Nov 2018</w:t>
            </w:r>
          </w:p>
        </w:tc>
        <w:tc>
          <w:tcPr>
            <w:tcW w:w="0" w:type="auto"/>
            <w:tcMar>
              <w:top w:w="100" w:type="dxa"/>
              <w:left w:w="100" w:type="dxa"/>
              <w:bottom w:w="100" w:type="dxa"/>
              <w:right w:w="100" w:type="dxa"/>
            </w:tcMar>
            <w:hideMark/>
          </w:tcPr>
          <w:p w14:paraId="6334AC4F" w14:textId="77777777" w:rsidR="00750A6A" w:rsidRPr="008A5256" w:rsidRDefault="00750A6A" w:rsidP="00750A6A">
            <w:pPr>
              <w:rPr>
                <w:sz w:val="20"/>
                <w:szCs w:val="20"/>
              </w:rPr>
            </w:pPr>
            <w:r w:rsidRPr="008A5256">
              <w:rPr>
                <w:sz w:val="20"/>
                <w:szCs w:val="20"/>
              </w:rPr>
              <w:t>1, 2, 6, 7, 8, 10, 15a, 15d</w:t>
            </w:r>
          </w:p>
        </w:tc>
      </w:tr>
      <w:tr w:rsidR="00750A6A" w:rsidRPr="008A5256" w14:paraId="71CEB2C6" w14:textId="77777777">
        <w:trPr>
          <w:trHeight w:val="800"/>
        </w:trPr>
        <w:tc>
          <w:tcPr>
            <w:tcW w:w="0" w:type="auto"/>
            <w:tcMar>
              <w:top w:w="100" w:type="dxa"/>
              <w:left w:w="100" w:type="dxa"/>
              <w:bottom w:w="100" w:type="dxa"/>
              <w:right w:w="100" w:type="dxa"/>
            </w:tcMar>
            <w:hideMark/>
          </w:tcPr>
          <w:p w14:paraId="3D78A34A" w14:textId="77777777" w:rsidR="00750A6A" w:rsidRPr="008A5256" w:rsidRDefault="00750A6A" w:rsidP="00750A6A">
            <w:pPr>
              <w:rPr>
                <w:sz w:val="20"/>
                <w:szCs w:val="20"/>
              </w:rPr>
            </w:pPr>
            <w:r w:rsidRPr="008A5256">
              <w:rPr>
                <w:sz w:val="20"/>
                <w:szCs w:val="20"/>
              </w:rPr>
              <w:t>#2 Sinergia/ACE Accomplishments 2017–2018</w:t>
            </w:r>
          </w:p>
        </w:tc>
        <w:tc>
          <w:tcPr>
            <w:tcW w:w="0" w:type="auto"/>
            <w:tcMar>
              <w:top w:w="100" w:type="dxa"/>
              <w:left w:w="100" w:type="dxa"/>
              <w:bottom w:w="100" w:type="dxa"/>
              <w:right w:w="100" w:type="dxa"/>
            </w:tcMar>
            <w:hideMark/>
          </w:tcPr>
          <w:p w14:paraId="581D2985" w14:textId="77777777" w:rsidR="00750A6A" w:rsidRPr="008A5256" w:rsidRDefault="00750A6A" w:rsidP="00750A6A">
            <w:pPr>
              <w:rPr>
                <w:sz w:val="20"/>
                <w:szCs w:val="20"/>
              </w:rPr>
            </w:pPr>
            <w:r w:rsidRPr="008A5256">
              <w:rPr>
                <w:sz w:val="20"/>
                <w:szCs w:val="20"/>
              </w:rPr>
              <w:t>1, 6, 7, 10, 15a</w:t>
            </w:r>
          </w:p>
        </w:tc>
      </w:tr>
      <w:tr w:rsidR="00750A6A" w:rsidRPr="008A5256" w14:paraId="15D43C76" w14:textId="77777777">
        <w:trPr>
          <w:trHeight w:val="800"/>
        </w:trPr>
        <w:tc>
          <w:tcPr>
            <w:tcW w:w="0" w:type="auto"/>
            <w:tcMar>
              <w:top w:w="100" w:type="dxa"/>
              <w:left w:w="100" w:type="dxa"/>
              <w:bottom w:w="100" w:type="dxa"/>
              <w:right w:w="100" w:type="dxa"/>
            </w:tcMar>
            <w:hideMark/>
          </w:tcPr>
          <w:p w14:paraId="21AD3F81" w14:textId="77777777" w:rsidR="00750A6A" w:rsidRPr="008A5256" w:rsidRDefault="00750A6A" w:rsidP="00750A6A">
            <w:pPr>
              <w:rPr>
                <w:sz w:val="20"/>
                <w:szCs w:val="20"/>
              </w:rPr>
            </w:pPr>
            <w:r w:rsidRPr="008A5256">
              <w:rPr>
                <w:sz w:val="20"/>
                <w:szCs w:val="20"/>
              </w:rPr>
              <w:t>#3 ACE Charity Review, Dec 2025</w:t>
            </w:r>
          </w:p>
        </w:tc>
        <w:tc>
          <w:tcPr>
            <w:tcW w:w="0" w:type="auto"/>
            <w:tcMar>
              <w:top w:w="100" w:type="dxa"/>
              <w:left w:w="100" w:type="dxa"/>
              <w:bottom w:w="100" w:type="dxa"/>
              <w:right w:w="100" w:type="dxa"/>
            </w:tcMar>
            <w:hideMark/>
          </w:tcPr>
          <w:p w14:paraId="0E6A0F28" w14:textId="77777777" w:rsidR="00750A6A" w:rsidRPr="008A5256" w:rsidRDefault="00750A6A" w:rsidP="00750A6A">
            <w:pPr>
              <w:rPr>
                <w:sz w:val="20"/>
                <w:szCs w:val="20"/>
              </w:rPr>
            </w:pPr>
            <w:r w:rsidRPr="008A5256">
              <w:rPr>
                <w:sz w:val="20"/>
                <w:szCs w:val="20"/>
              </w:rPr>
              <w:t>2, 4, 7, 9, 11, 13 (via context), 15c, 15e</w:t>
            </w:r>
          </w:p>
        </w:tc>
      </w:tr>
      <w:tr w:rsidR="00750A6A" w:rsidRPr="008A5256" w14:paraId="212F941B" w14:textId="77777777">
        <w:trPr>
          <w:trHeight w:val="800"/>
        </w:trPr>
        <w:tc>
          <w:tcPr>
            <w:tcW w:w="0" w:type="auto"/>
            <w:tcMar>
              <w:top w:w="100" w:type="dxa"/>
              <w:left w:w="100" w:type="dxa"/>
              <w:bottom w:w="100" w:type="dxa"/>
              <w:right w:w="100" w:type="dxa"/>
            </w:tcMar>
            <w:hideMark/>
          </w:tcPr>
          <w:p w14:paraId="0A2046EC" w14:textId="77777777" w:rsidR="00750A6A" w:rsidRPr="008A5256" w:rsidRDefault="00750A6A" w:rsidP="00750A6A">
            <w:pPr>
              <w:rPr>
                <w:sz w:val="20"/>
                <w:szCs w:val="20"/>
              </w:rPr>
            </w:pPr>
            <w:r w:rsidRPr="008A5256">
              <w:rPr>
                <w:sz w:val="20"/>
                <w:szCs w:val="20"/>
              </w:rPr>
              <w:t>#4 Carozzi investigation, July 2020</w:t>
            </w:r>
          </w:p>
        </w:tc>
        <w:tc>
          <w:tcPr>
            <w:tcW w:w="0" w:type="auto"/>
            <w:tcMar>
              <w:top w:w="100" w:type="dxa"/>
              <w:left w:w="100" w:type="dxa"/>
              <w:bottom w:w="100" w:type="dxa"/>
              <w:right w:w="100" w:type="dxa"/>
            </w:tcMar>
            <w:hideMark/>
          </w:tcPr>
          <w:p w14:paraId="134D8D3A" w14:textId="77777777" w:rsidR="00750A6A" w:rsidRPr="008A5256" w:rsidRDefault="00750A6A" w:rsidP="00750A6A">
            <w:pPr>
              <w:rPr>
                <w:sz w:val="20"/>
                <w:szCs w:val="20"/>
              </w:rPr>
            </w:pPr>
            <w:r w:rsidRPr="008A5256">
              <w:rPr>
                <w:sz w:val="20"/>
                <w:szCs w:val="20"/>
              </w:rPr>
              <w:t>1, 3, 4, 5, 7, 10, 15b</w:t>
            </w:r>
          </w:p>
        </w:tc>
      </w:tr>
      <w:tr w:rsidR="00750A6A" w:rsidRPr="008A5256" w14:paraId="7A0535C8" w14:textId="77777777">
        <w:trPr>
          <w:trHeight w:val="800"/>
        </w:trPr>
        <w:tc>
          <w:tcPr>
            <w:tcW w:w="0" w:type="auto"/>
            <w:tcMar>
              <w:top w:w="100" w:type="dxa"/>
              <w:left w:w="100" w:type="dxa"/>
              <w:bottom w:w="100" w:type="dxa"/>
              <w:right w:w="100" w:type="dxa"/>
            </w:tcMar>
            <w:hideMark/>
          </w:tcPr>
          <w:p w14:paraId="3951A5D4" w14:textId="77777777" w:rsidR="00750A6A" w:rsidRPr="008A5256" w:rsidRDefault="00750A6A" w:rsidP="00750A6A">
            <w:pPr>
              <w:rPr>
                <w:sz w:val="20"/>
                <w:szCs w:val="20"/>
              </w:rPr>
            </w:pPr>
            <w:r w:rsidRPr="008A5256">
              <w:rPr>
                <w:sz w:val="20"/>
                <w:szCs w:val="20"/>
              </w:rPr>
              <w:t>#5 Brazil pig farms investigation, Oct 2024</w:t>
            </w:r>
          </w:p>
        </w:tc>
        <w:tc>
          <w:tcPr>
            <w:tcW w:w="0" w:type="auto"/>
            <w:tcMar>
              <w:top w:w="100" w:type="dxa"/>
              <w:left w:w="100" w:type="dxa"/>
              <w:bottom w:w="100" w:type="dxa"/>
              <w:right w:w="100" w:type="dxa"/>
            </w:tcMar>
            <w:hideMark/>
          </w:tcPr>
          <w:p w14:paraId="0C537D93" w14:textId="77777777" w:rsidR="00750A6A" w:rsidRPr="008A5256" w:rsidRDefault="00750A6A" w:rsidP="00750A6A">
            <w:pPr>
              <w:rPr>
                <w:sz w:val="20"/>
                <w:szCs w:val="20"/>
              </w:rPr>
            </w:pPr>
            <w:r w:rsidRPr="008A5256">
              <w:rPr>
                <w:sz w:val="20"/>
                <w:szCs w:val="20"/>
              </w:rPr>
              <w:t>1, 5, 6</w:t>
            </w:r>
          </w:p>
        </w:tc>
      </w:tr>
      <w:tr w:rsidR="00750A6A" w:rsidRPr="008A5256" w14:paraId="6F037753" w14:textId="77777777">
        <w:trPr>
          <w:trHeight w:val="800"/>
        </w:trPr>
        <w:tc>
          <w:tcPr>
            <w:tcW w:w="0" w:type="auto"/>
            <w:tcMar>
              <w:top w:w="100" w:type="dxa"/>
              <w:left w:w="100" w:type="dxa"/>
              <w:bottom w:w="100" w:type="dxa"/>
              <w:right w:w="100" w:type="dxa"/>
            </w:tcMar>
            <w:hideMark/>
          </w:tcPr>
          <w:p w14:paraId="34ED4181" w14:textId="77777777" w:rsidR="00750A6A" w:rsidRPr="008A5256" w:rsidRDefault="00750A6A" w:rsidP="00750A6A">
            <w:pPr>
              <w:rPr>
                <w:sz w:val="20"/>
                <w:szCs w:val="20"/>
              </w:rPr>
            </w:pPr>
            <w:r w:rsidRPr="008A5256">
              <w:rPr>
                <w:sz w:val="20"/>
                <w:szCs w:val="20"/>
              </w:rPr>
              <w:lastRenderedPageBreak/>
              <w:t>#6 Diniz/Common Dreams, Mar 2026</w:t>
            </w:r>
          </w:p>
        </w:tc>
        <w:tc>
          <w:tcPr>
            <w:tcW w:w="0" w:type="auto"/>
            <w:tcMar>
              <w:top w:w="100" w:type="dxa"/>
              <w:left w:w="100" w:type="dxa"/>
              <w:bottom w:w="100" w:type="dxa"/>
              <w:right w:w="100" w:type="dxa"/>
            </w:tcMar>
            <w:hideMark/>
          </w:tcPr>
          <w:p w14:paraId="0CF6B17B" w14:textId="77777777" w:rsidR="00750A6A" w:rsidRPr="008A5256" w:rsidRDefault="00750A6A" w:rsidP="00750A6A">
            <w:pPr>
              <w:rPr>
                <w:sz w:val="20"/>
                <w:szCs w:val="20"/>
              </w:rPr>
            </w:pPr>
            <w:r w:rsidRPr="008A5256">
              <w:rPr>
                <w:sz w:val="20"/>
                <w:szCs w:val="20"/>
              </w:rPr>
              <w:t>8, 14</w:t>
            </w:r>
          </w:p>
        </w:tc>
      </w:tr>
      <w:tr w:rsidR="00750A6A" w:rsidRPr="008A5256" w14:paraId="22627573" w14:textId="77777777">
        <w:trPr>
          <w:trHeight w:val="800"/>
        </w:trPr>
        <w:tc>
          <w:tcPr>
            <w:tcW w:w="0" w:type="auto"/>
            <w:tcMar>
              <w:top w:w="100" w:type="dxa"/>
              <w:left w:w="100" w:type="dxa"/>
              <w:bottom w:w="100" w:type="dxa"/>
              <w:right w:w="100" w:type="dxa"/>
            </w:tcMar>
            <w:hideMark/>
          </w:tcPr>
          <w:p w14:paraId="73059B78" w14:textId="77777777" w:rsidR="00750A6A" w:rsidRPr="008A5256" w:rsidRDefault="00750A6A" w:rsidP="00750A6A">
            <w:pPr>
              <w:rPr>
                <w:sz w:val="20"/>
                <w:szCs w:val="20"/>
              </w:rPr>
            </w:pPr>
            <w:r w:rsidRPr="008A5256">
              <w:rPr>
                <w:sz w:val="20"/>
                <w:szCs w:val="20"/>
              </w:rPr>
              <w:t>#7 Faunalytics, LatAm cage-free survey, Dec 2020</w:t>
            </w:r>
          </w:p>
        </w:tc>
        <w:tc>
          <w:tcPr>
            <w:tcW w:w="0" w:type="auto"/>
            <w:tcMar>
              <w:top w:w="100" w:type="dxa"/>
              <w:left w:w="100" w:type="dxa"/>
              <w:bottom w:w="100" w:type="dxa"/>
              <w:right w:w="100" w:type="dxa"/>
            </w:tcMar>
            <w:hideMark/>
          </w:tcPr>
          <w:p w14:paraId="392A2F39" w14:textId="77777777" w:rsidR="00750A6A" w:rsidRPr="008A5256" w:rsidRDefault="00750A6A" w:rsidP="00750A6A">
            <w:pPr>
              <w:rPr>
                <w:sz w:val="20"/>
                <w:szCs w:val="20"/>
              </w:rPr>
            </w:pPr>
            <w:r w:rsidRPr="008A5256">
              <w:rPr>
                <w:sz w:val="20"/>
                <w:szCs w:val="20"/>
              </w:rPr>
              <w:t>11</w:t>
            </w:r>
          </w:p>
        </w:tc>
      </w:tr>
      <w:tr w:rsidR="00750A6A" w:rsidRPr="008A5256" w14:paraId="2B8A2BA9" w14:textId="77777777">
        <w:trPr>
          <w:trHeight w:val="800"/>
        </w:trPr>
        <w:tc>
          <w:tcPr>
            <w:tcW w:w="0" w:type="auto"/>
            <w:tcMar>
              <w:top w:w="100" w:type="dxa"/>
              <w:left w:w="100" w:type="dxa"/>
              <w:bottom w:w="100" w:type="dxa"/>
              <w:right w:w="100" w:type="dxa"/>
            </w:tcMar>
            <w:hideMark/>
          </w:tcPr>
          <w:p w14:paraId="36408B27" w14:textId="77777777" w:rsidR="00750A6A" w:rsidRPr="008A5256" w:rsidRDefault="00750A6A" w:rsidP="00750A6A">
            <w:pPr>
              <w:rPr>
                <w:sz w:val="20"/>
                <w:szCs w:val="20"/>
              </w:rPr>
            </w:pPr>
            <w:r w:rsidRPr="008A5256">
              <w:rPr>
                <w:sz w:val="20"/>
                <w:szCs w:val="20"/>
              </w:rPr>
              <w:t>#8 Faunalytics, Brazil pig welfare, May 2024</w:t>
            </w:r>
          </w:p>
        </w:tc>
        <w:tc>
          <w:tcPr>
            <w:tcW w:w="0" w:type="auto"/>
            <w:tcMar>
              <w:top w:w="100" w:type="dxa"/>
              <w:left w:w="100" w:type="dxa"/>
              <w:bottom w:w="100" w:type="dxa"/>
              <w:right w:w="100" w:type="dxa"/>
            </w:tcMar>
            <w:hideMark/>
          </w:tcPr>
          <w:p w14:paraId="652730DB" w14:textId="77777777" w:rsidR="00750A6A" w:rsidRPr="008A5256" w:rsidRDefault="00750A6A" w:rsidP="00750A6A">
            <w:pPr>
              <w:rPr>
                <w:sz w:val="20"/>
                <w:szCs w:val="20"/>
              </w:rPr>
            </w:pPr>
            <w:r w:rsidRPr="008A5256">
              <w:rPr>
                <w:sz w:val="20"/>
                <w:szCs w:val="20"/>
              </w:rPr>
              <w:t>4, 7, 9, 10, 11, 13, 15c</w:t>
            </w:r>
          </w:p>
        </w:tc>
      </w:tr>
      <w:tr w:rsidR="00750A6A" w:rsidRPr="008A5256" w14:paraId="3E0970BE" w14:textId="77777777">
        <w:trPr>
          <w:trHeight w:val="800"/>
        </w:trPr>
        <w:tc>
          <w:tcPr>
            <w:tcW w:w="0" w:type="auto"/>
            <w:tcMar>
              <w:top w:w="100" w:type="dxa"/>
              <w:left w:w="100" w:type="dxa"/>
              <w:bottom w:w="100" w:type="dxa"/>
              <w:right w:w="100" w:type="dxa"/>
            </w:tcMar>
            <w:hideMark/>
          </w:tcPr>
          <w:p w14:paraId="1B331032" w14:textId="77777777" w:rsidR="00750A6A" w:rsidRPr="008A5256" w:rsidRDefault="00750A6A" w:rsidP="00750A6A">
            <w:pPr>
              <w:rPr>
                <w:sz w:val="20"/>
                <w:szCs w:val="20"/>
              </w:rPr>
            </w:pPr>
            <w:r w:rsidRPr="008A5256">
              <w:rPr>
                <w:sz w:val="20"/>
                <w:szCs w:val="20"/>
              </w:rPr>
              <w:t>#9 HSI, BRF announcement, 2014</w:t>
            </w:r>
          </w:p>
          <w:p w14:paraId="6E4146E7" w14:textId="77777777" w:rsidR="00280E3B" w:rsidRPr="008A5256" w:rsidRDefault="00280E3B" w:rsidP="00750A6A">
            <w:pPr>
              <w:rPr>
                <w:sz w:val="20"/>
                <w:szCs w:val="20"/>
              </w:rPr>
            </w:pPr>
          </w:p>
          <w:p w14:paraId="6EB9ADA9" w14:textId="7491905C" w:rsidR="00280E3B" w:rsidRPr="008A5256" w:rsidRDefault="00280E3B" w:rsidP="00750A6A">
            <w:pPr>
              <w:rPr>
                <w:sz w:val="20"/>
                <w:szCs w:val="20"/>
              </w:rPr>
            </w:pPr>
            <w:r w:rsidRPr="008A5256">
              <w:rPr>
                <w:sz w:val="20"/>
                <w:szCs w:val="20"/>
              </w:rPr>
              <w:t>Faunalytics BRIC 2018 (via ACE Brazil blog) — 12</w:t>
            </w:r>
            <w:r w:rsidRPr="008A5256">
              <w:rPr>
                <w:sz w:val="20"/>
                <w:szCs w:val="20"/>
              </w:rPr>
              <w:br/>
              <w:t>Yunes et al. 2017 — 12</w:t>
            </w:r>
            <w:r w:rsidRPr="008A5256">
              <w:rPr>
                <w:sz w:val="20"/>
                <w:szCs w:val="20"/>
              </w:rPr>
              <w:br/>
              <w:t>Cardoso et al. 2017 — 12</w:t>
            </w:r>
            <w:r w:rsidRPr="008A5256">
              <w:rPr>
                <w:sz w:val="20"/>
                <w:szCs w:val="20"/>
              </w:rPr>
              <w:br/>
              <w:t>Estévez-Moreno et al. 2022 — 12</w:t>
            </w:r>
          </w:p>
        </w:tc>
        <w:tc>
          <w:tcPr>
            <w:tcW w:w="0" w:type="auto"/>
            <w:tcMar>
              <w:top w:w="100" w:type="dxa"/>
              <w:left w:w="100" w:type="dxa"/>
              <w:bottom w:w="100" w:type="dxa"/>
              <w:right w:w="100" w:type="dxa"/>
            </w:tcMar>
            <w:hideMark/>
          </w:tcPr>
          <w:p w14:paraId="6448203B" w14:textId="77777777" w:rsidR="00750A6A" w:rsidRPr="008A5256" w:rsidRDefault="00750A6A" w:rsidP="00750A6A">
            <w:pPr>
              <w:rPr>
                <w:sz w:val="20"/>
                <w:szCs w:val="20"/>
              </w:rPr>
            </w:pPr>
            <w:r w:rsidRPr="008A5256">
              <w:rPr>
                <w:sz w:val="20"/>
                <w:szCs w:val="20"/>
              </w:rPr>
              <w:t>(background/context only — pre-window, no direct variable citation; retained for sector timeline context)</w:t>
            </w:r>
          </w:p>
        </w:tc>
      </w:tr>
    </w:tbl>
    <w:p w14:paraId="0B3705CA" w14:textId="77777777" w:rsidR="00750A6A" w:rsidRPr="008A5256" w:rsidRDefault="00750A6A" w:rsidP="00750A6A">
      <w:pPr>
        <w:rPr>
          <w:b/>
          <w:bCs/>
          <w:sz w:val="20"/>
          <w:szCs w:val="20"/>
        </w:rPr>
      </w:pPr>
      <w:r w:rsidRPr="008A5256">
        <w:rPr>
          <w:b/>
          <w:bCs/>
          <w:sz w:val="20"/>
          <w:szCs w:val="20"/>
        </w:rPr>
        <w:t>OBSERVATION</w:t>
      </w:r>
    </w:p>
    <w:p w14:paraId="58E5C4E9" w14:textId="77777777" w:rsidR="00750A6A" w:rsidRPr="008A5256" w:rsidRDefault="00750A6A" w:rsidP="00750A6A">
      <w:pPr>
        <w:rPr>
          <w:sz w:val="20"/>
          <w:szCs w:val="20"/>
        </w:rPr>
      </w:pPr>
      <w:r w:rsidRPr="008A5256">
        <w:rPr>
          <w:sz w:val="20"/>
          <w:szCs w:val="20"/>
        </w:rPr>
        <w:t>Evidence is reasonably well-distributed across the eight in-window sources: no single source dominates more than 8 of 15 entries (#1 and #3 are the heaviest contributors, reflecting their roles as foundational framing and most recent comprehensive review respectively). Source #9 is retained in the locked list as sector-context but contributes no direct coding evidence, which is noted transparently rather than silently dropped.</w:t>
      </w:r>
    </w:p>
    <w:p w14:paraId="01C01722" w14:textId="77777777" w:rsidR="00750A6A" w:rsidRPr="008A5256" w:rsidRDefault="00750A6A" w:rsidP="00750A6A">
      <w:pPr>
        <w:rPr>
          <w:b/>
          <w:bCs/>
          <w:sz w:val="20"/>
          <w:szCs w:val="20"/>
        </w:rPr>
      </w:pPr>
      <w:r w:rsidRPr="008A5256">
        <w:rPr>
          <w:b/>
          <w:bCs/>
          <w:sz w:val="20"/>
          <w:szCs w:val="20"/>
        </w:rPr>
        <w:t>CASE-LEVEL SUMMARY</w:t>
      </w:r>
    </w:p>
    <w:p w14:paraId="414429D3" w14:textId="77777777" w:rsidR="00750A6A" w:rsidRPr="008A5256" w:rsidRDefault="00750A6A" w:rsidP="00750A6A">
      <w:pPr>
        <w:rPr>
          <w:sz w:val="20"/>
          <w:szCs w:val="20"/>
        </w:rPr>
      </w:pPr>
      <w:r w:rsidRPr="008A5256">
        <w:rPr>
          <w:b/>
          <w:bCs/>
          <w:sz w:val="20"/>
          <w:szCs w:val="20"/>
        </w:rPr>
        <w:t>Low confidence / insufficient:</w:t>
      </w:r>
    </w:p>
    <w:p w14:paraId="6F055F84" w14:textId="77777777" w:rsidR="00750A6A" w:rsidRPr="008A5256" w:rsidRDefault="00750A6A" w:rsidP="00043AF9">
      <w:pPr>
        <w:numPr>
          <w:ilvl w:val="0"/>
          <w:numId w:val="12"/>
        </w:numPr>
        <w:rPr>
          <w:sz w:val="20"/>
          <w:szCs w:val="20"/>
        </w:rPr>
      </w:pPr>
      <w:r w:rsidRPr="008A5256">
        <w:rPr>
          <w:sz w:val="20"/>
          <w:szCs w:val="20"/>
        </w:rPr>
        <w:t>#12 Public sentiment starting point — Insufficient evidence; case runs on 13 variables.</w:t>
      </w:r>
    </w:p>
    <w:p w14:paraId="3C2E2FF5" w14:textId="77777777" w:rsidR="00750A6A" w:rsidRPr="008A5256" w:rsidRDefault="00750A6A" w:rsidP="00750A6A">
      <w:pPr>
        <w:rPr>
          <w:sz w:val="20"/>
          <w:szCs w:val="20"/>
        </w:rPr>
      </w:pPr>
      <w:r w:rsidRPr="008A5256">
        <w:rPr>
          <w:b/>
          <w:bCs/>
          <w:sz w:val="20"/>
          <w:szCs w:val="20"/>
        </w:rPr>
        <w:t>Medium confidence:</w:t>
      </w:r>
    </w:p>
    <w:p w14:paraId="52F29E26" w14:textId="77777777" w:rsidR="00750A6A" w:rsidRPr="008A5256" w:rsidRDefault="00750A6A" w:rsidP="00043AF9">
      <w:pPr>
        <w:numPr>
          <w:ilvl w:val="0"/>
          <w:numId w:val="13"/>
        </w:numPr>
        <w:rPr>
          <w:sz w:val="20"/>
          <w:szCs w:val="20"/>
        </w:rPr>
      </w:pPr>
      <w:r w:rsidRPr="008A5256">
        <w:rPr>
          <w:sz w:val="20"/>
          <w:szCs w:val="20"/>
        </w:rPr>
        <w:t>#3 Strength of opposition — well-evidenced for the one documented case (Carozzi), but generalisation across the full multi-country campaign is limited.</w:t>
      </w:r>
    </w:p>
    <w:p w14:paraId="40A9F0F8" w14:textId="77777777" w:rsidR="00750A6A" w:rsidRPr="008A5256" w:rsidRDefault="00750A6A" w:rsidP="00043AF9">
      <w:pPr>
        <w:numPr>
          <w:ilvl w:val="0"/>
          <w:numId w:val="13"/>
        </w:numPr>
        <w:rPr>
          <w:sz w:val="20"/>
          <w:szCs w:val="20"/>
        </w:rPr>
      </w:pPr>
      <w:r w:rsidRPr="008A5256">
        <w:rPr>
          <w:sz w:val="20"/>
          <w:szCs w:val="20"/>
        </w:rPr>
        <w:t>#6 Degree of behaviour change required — clearly evidenced at corporate-sourcing level, but no single source directly compares egg vs. pig strand magnitude.</w:t>
      </w:r>
    </w:p>
    <w:p w14:paraId="528E39C7" w14:textId="77777777" w:rsidR="00750A6A" w:rsidRPr="008A5256" w:rsidRDefault="00750A6A" w:rsidP="00043AF9">
      <w:pPr>
        <w:numPr>
          <w:ilvl w:val="0"/>
          <w:numId w:val="13"/>
        </w:numPr>
        <w:rPr>
          <w:sz w:val="20"/>
          <w:szCs w:val="20"/>
        </w:rPr>
      </w:pPr>
      <w:r w:rsidRPr="008A5256">
        <w:rPr>
          <w:sz w:val="20"/>
          <w:szCs w:val="20"/>
        </w:rPr>
        <w:t>#14 Narrative dominance — strong for both endpoints (absence at start, emergence of competing narrative later), but no continuous tracking across the full window.</w:t>
      </w:r>
    </w:p>
    <w:p w14:paraId="354B5F69" w14:textId="77777777" w:rsidR="00750A6A" w:rsidRPr="008A5256" w:rsidRDefault="00750A6A" w:rsidP="00750A6A">
      <w:pPr>
        <w:rPr>
          <w:sz w:val="20"/>
          <w:szCs w:val="20"/>
        </w:rPr>
      </w:pPr>
      <w:r w:rsidRPr="008A5256">
        <w:rPr>
          <w:b/>
          <w:bCs/>
          <w:sz w:val="20"/>
          <w:szCs w:val="20"/>
        </w:rPr>
        <w:t>Phase 1/4 exception use:</w:t>
      </w:r>
      <w:r w:rsidRPr="008A5256">
        <w:rPr>
          <w:sz w:val="20"/>
          <w:szCs w:val="20"/>
        </w:rPr>
        <w:t xml:space="preserve"> None required. Legal/regulatory landscape (#13) and Narrative dominance (#14) were both coded entirely from in-window locked sources (#8, #6) without reaching outside the locked set.</w:t>
      </w:r>
    </w:p>
    <w:p w14:paraId="27980A00" w14:textId="77777777" w:rsidR="00750A6A" w:rsidRPr="008A5256" w:rsidRDefault="00750A6A" w:rsidP="00750A6A">
      <w:pPr>
        <w:rPr>
          <w:b/>
          <w:bCs/>
          <w:sz w:val="20"/>
          <w:szCs w:val="20"/>
        </w:rPr>
      </w:pPr>
      <w:r w:rsidRPr="008A5256">
        <w:rPr>
          <w:b/>
          <w:bCs/>
          <w:sz w:val="20"/>
          <w:szCs w:val="20"/>
        </w:rPr>
        <w:t>OVERALL CASE CONFIDENCE/QUALITY FLAG</w:t>
      </w:r>
    </w:p>
    <w:p w14:paraId="0EC46716" w14:textId="77777777" w:rsidR="00750A6A" w:rsidRPr="008A5256" w:rsidRDefault="00750A6A" w:rsidP="00750A6A">
      <w:pPr>
        <w:rPr>
          <w:sz w:val="20"/>
          <w:szCs w:val="20"/>
        </w:rPr>
      </w:pPr>
      <w:r w:rsidRPr="008A5256">
        <w:rPr>
          <w:b/>
          <w:bCs/>
          <w:sz w:val="20"/>
          <w:szCs w:val="20"/>
        </w:rPr>
        <w:t>Medium-High.</w:t>
      </w:r>
      <w:r w:rsidRPr="008A5256">
        <w:rPr>
          <w:sz w:val="20"/>
          <w:szCs w:val="20"/>
        </w:rPr>
        <w:t xml:space="preserve"> 10 of 14 substantive variables sit at High confidence, three at Medium, and one genuine structural gap (Public sentiment). Source diversity spans the campaign's own founder interview, an independent charity evaluator's multi-year review, direct NGO investigative documentation, independent research-summary organisations (Faunalytics, twice, summarizing two different primary studies), and a campaign-actor op-ed in an independent outlet — covering NGO self-report, independent evaluation, and investigative/monitoring categories, though not full investigative journalism from a non-animal-welfare-focused outlet. The Mixed/Unresolved codings (#10, #11) are appropriate and clearly flagged, reflecting this is a genuinely ongoing campaign with partial, unevenly verified progress as of the most recent available evidence.</w:t>
      </w:r>
    </w:p>
    <w:p w14:paraId="1FB37C9A" w14:textId="77777777" w:rsidR="00750A6A" w:rsidRPr="008A5256" w:rsidRDefault="00750A6A" w:rsidP="00750A6A">
      <w:pPr>
        <w:rPr>
          <w:b/>
          <w:bCs/>
          <w:sz w:val="20"/>
          <w:szCs w:val="20"/>
        </w:rPr>
      </w:pPr>
      <w:r w:rsidRPr="008A5256">
        <w:rPr>
          <w:b/>
          <w:bCs/>
          <w:sz w:val="20"/>
          <w:szCs w:val="20"/>
        </w:rPr>
        <w:t>HINDSIGHT NOTES</w:t>
      </w:r>
    </w:p>
    <w:p w14:paraId="43BFEFF8" w14:textId="77777777" w:rsidR="00750A6A" w:rsidRPr="008A5256" w:rsidRDefault="00750A6A" w:rsidP="00043AF9">
      <w:pPr>
        <w:numPr>
          <w:ilvl w:val="0"/>
          <w:numId w:val="14"/>
        </w:numPr>
        <w:rPr>
          <w:sz w:val="20"/>
          <w:szCs w:val="20"/>
        </w:rPr>
      </w:pPr>
      <w:r w:rsidRPr="008A5256">
        <w:rPr>
          <w:sz w:val="20"/>
          <w:szCs w:val="20"/>
        </w:rPr>
        <w:lastRenderedPageBreak/>
        <w:t>Hindsight note: Strength/Type of opposition (#3, #4) — if the EU-Mercosur ratification proceeds and triggers organised agricultural-sector lobbying in Brazil or Argentina (as #6 suggests is plausible), opposition strength could shift from "low-to-moderate, fragmented" toward a more organised, higher-strength rating; not used in coding above, as this remains prospective at the close of the locked source set.</w:t>
      </w:r>
    </w:p>
    <w:p w14:paraId="3565D6A2" w14:textId="77777777" w:rsidR="00750A6A" w:rsidRPr="008A5256" w:rsidRDefault="00750A6A" w:rsidP="00043AF9">
      <w:pPr>
        <w:numPr>
          <w:ilvl w:val="0"/>
          <w:numId w:val="14"/>
        </w:numPr>
        <w:rPr>
          <w:sz w:val="20"/>
          <w:szCs w:val="20"/>
        </w:rPr>
      </w:pPr>
      <w:r w:rsidRPr="008A5256">
        <w:rPr>
          <w:sz w:val="20"/>
          <w:szCs w:val="20"/>
        </w:rPr>
        <w:t>Hindsight note: Scale of change achieved (#11) — Sinergia's own more recent transparency reporting (referenced in earlier research but not independently verified as a locked source) suggests continued expansion into Vietnam and deepening Asia-Pacific work; if verified and locked in a future update, this would likely strengthen the scale coding further.</w:t>
      </w:r>
    </w:p>
    <w:p w14:paraId="1EE7E104" w14:textId="77777777" w:rsidR="00750A6A" w:rsidRPr="008A5256" w:rsidRDefault="00750A6A" w:rsidP="00043AF9">
      <w:pPr>
        <w:numPr>
          <w:ilvl w:val="0"/>
          <w:numId w:val="14"/>
        </w:numPr>
        <w:rPr>
          <w:sz w:val="20"/>
          <w:szCs w:val="20"/>
        </w:rPr>
      </w:pPr>
      <w:r w:rsidRPr="008A5256">
        <w:rPr>
          <w:sz w:val="20"/>
          <w:szCs w:val="20"/>
        </w:rPr>
        <w:t>No hindsight notes applicable for Public sentiment starting point — gap is structural (no baseline source exists for any target country in the locked set), not resolvable by later evidence.</w:t>
      </w:r>
    </w:p>
    <w:p w14:paraId="75BD15C4" w14:textId="79DAF0EE" w:rsidR="003879A0" w:rsidRDefault="003879A0" w:rsidP="003879A0">
      <w:pPr>
        <w:pStyle w:val="Heading1"/>
      </w:pPr>
      <w:r>
        <w:t xml:space="preserve">CASE 6: </w:t>
      </w:r>
      <w:r w:rsidR="00E343DE">
        <w:t>UK live export ban – animal welfare (livestock exports) Act 2017-2024</w:t>
      </w:r>
    </w:p>
    <w:p w14:paraId="0D7F4055" w14:textId="77777777" w:rsidR="00877BF6" w:rsidRPr="00877BF6" w:rsidRDefault="00877BF6" w:rsidP="00877BF6">
      <w:pPr>
        <w:rPr>
          <w:b/>
          <w:bCs/>
          <w:sz w:val="20"/>
          <w:szCs w:val="20"/>
        </w:rPr>
      </w:pPr>
      <w:r w:rsidRPr="00877BF6">
        <w:rPr>
          <w:sz w:val="20"/>
          <w:szCs w:val="20"/>
        </w:rPr>
        <w:t>LIST B — EVIDENCE / CONFIDENCE / SOURCE TAG</w:t>
      </w:r>
    </w:p>
    <w:p w14:paraId="65D3BEAA" w14:textId="77777777" w:rsidR="00877BF6" w:rsidRPr="00877BF6" w:rsidRDefault="00877BF6" w:rsidP="00043AF9">
      <w:pPr>
        <w:numPr>
          <w:ilvl w:val="0"/>
          <w:numId w:val="46"/>
        </w:numPr>
        <w:rPr>
          <w:sz w:val="20"/>
          <w:szCs w:val="20"/>
        </w:rPr>
      </w:pPr>
      <w:r w:rsidRPr="00877BF6">
        <w:rPr>
          <w:sz w:val="20"/>
          <w:szCs w:val="20"/>
        </w:rPr>
        <w:t>Target type</w:t>
      </w:r>
      <w:r w:rsidRPr="00877BF6">
        <w:rPr>
          <w:sz w:val="20"/>
          <w:szCs w:val="20"/>
        </w:rPr>
        <w:br/>
        <w:t xml:space="preserve"> Evidence: Commons Library CBP-8031 (Source 2) confirms the campaign's core ask was a legislative ban by the UK government. CBP-9912 (Source 13) and GOV.UK (Source 12) confirm Great Britain as the legislative jurisdiction with livestock traders as the secondary compliance target. Source 9 (Lords second reading) confirms Northern Ireland was explicitly excluded.</w:t>
      </w:r>
      <w:r w:rsidRPr="00877BF6">
        <w:rPr>
          <w:sz w:val="20"/>
          <w:szCs w:val="20"/>
        </w:rPr>
        <w:br/>
        <w:t xml:space="preserve"> Confidence: High — directly and consistently evidenced across multiple government and parliamentary sources.</w:t>
      </w:r>
      <w:r w:rsidRPr="00877BF6">
        <w:rPr>
          <w:sz w:val="20"/>
          <w:szCs w:val="20"/>
        </w:rPr>
        <w:br/>
        <w:t xml:space="preserve"> Source Tag: Sources 2, 12, 13, 9.</w:t>
      </w:r>
    </w:p>
    <w:p w14:paraId="07466C08" w14:textId="77777777" w:rsidR="00877BF6" w:rsidRPr="00877BF6" w:rsidRDefault="00877BF6" w:rsidP="00043AF9">
      <w:pPr>
        <w:numPr>
          <w:ilvl w:val="0"/>
          <w:numId w:val="46"/>
        </w:numPr>
        <w:rPr>
          <w:sz w:val="20"/>
          <w:szCs w:val="20"/>
        </w:rPr>
      </w:pPr>
      <w:r w:rsidRPr="00877BF6">
        <w:rPr>
          <w:sz w:val="20"/>
          <w:szCs w:val="20"/>
        </w:rPr>
        <w:t>Concentration of decision-making power</w:t>
      </w:r>
      <w:r w:rsidRPr="00877BF6">
        <w:rPr>
          <w:sz w:val="20"/>
          <w:szCs w:val="20"/>
        </w:rPr>
        <w:br/>
        <w:t xml:space="preserve"> Evidence: Source 12 (GOV.UK announcement) confirms the decision was ministerial, introduced by Defra. Source 9 (Lords second reading) confirms Scottish and Welsh legislative consent was required alongside Westminster passage — adding a devolved-government layer but still a small number of concentrated decision-makers. Source 13 (CBP-9912) documents the Bill's passage through both Houses.</w:t>
      </w:r>
      <w:r w:rsidRPr="00877BF6">
        <w:rPr>
          <w:sz w:val="20"/>
          <w:szCs w:val="20"/>
        </w:rPr>
        <w:br/>
        <w:t xml:space="preserve"> Confidence: High — concentrated ministerial and parliamentary decision-making confirmed across multiple sources.</w:t>
      </w:r>
      <w:r w:rsidRPr="00877BF6">
        <w:rPr>
          <w:sz w:val="20"/>
          <w:szCs w:val="20"/>
        </w:rPr>
        <w:br/>
        <w:t xml:space="preserve"> Source Tag: Sources 9, 12, 13.</w:t>
      </w:r>
    </w:p>
    <w:p w14:paraId="33AB3471" w14:textId="77777777" w:rsidR="00877BF6" w:rsidRPr="00877BF6" w:rsidRDefault="00877BF6" w:rsidP="00043AF9">
      <w:pPr>
        <w:numPr>
          <w:ilvl w:val="0"/>
          <w:numId w:val="46"/>
        </w:numPr>
        <w:rPr>
          <w:sz w:val="20"/>
          <w:szCs w:val="20"/>
        </w:rPr>
      </w:pPr>
      <w:r w:rsidRPr="00877BF6">
        <w:rPr>
          <w:sz w:val="20"/>
          <w:szCs w:val="20"/>
        </w:rPr>
        <w:t>Strength of opposition</w:t>
      </w:r>
      <w:r w:rsidRPr="00877BF6">
        <w:rPr>
          <w:sz w:val="20"/>
          <w:szCs w:val="20"/>
        </w:rPr>
        <w:br/>
        <w:t xml:space="preserve"> Evidence: Source 11 (Farmers Weekly) documents NFU, National Sheep Association, and Farmers Union of Wales opposition focused on economic impact. Source 8 (Hansard Commons committee) records farming union submissions. No locked source documents a well-funded counter-campaign, legal challenge, or organised industry lobbying operation equivalent to other cases in this dataset.</w:t>
      </w:r>
      <w:r w:rsidRPr="00877BF6">
        <w:rPr>
          <w:sz w:val="20"/>
          <w:szCs w:val="20"/>
        </w:rPr>
        <w:br/>
        <w:t xml:space="preserve"> Confidence: High — the relative weakness of opposition is directly evidenced by what the sources do and do not document; absence of counter-campaign evidence across multiple sources is informative, not a gap.</w:t>
      </w:r>
      <w:r w:rsidRPr="00877BF6">
        <w:rPr>
          <w:sz w:val="20"/>
          <w:szCs w:val="20"/>
        </w:rPr>
        <w:br/>
        <w:t xml:space="preserve"> Source Tag: Sources 8, 9, 11.</w:t>
      </w:r>
    </w:p>
    <w:p w14:paraId="4A079C1B" w14:textId="77777777" w:rsidR="00877BF6" w:rsidRPr="00877BF6" w:rsidRDefault="00877BF6" w:rsidP="00043AF9">
      <w:pPr>
        <w:numPr>
          <w:ilvl w:val="0"/>
          <w:numId w:val="46"/>
        </w:numPr>
        <w:rPr>
          <w:sz w:val="20"/>
          <w:szCs w:val="20"/>
        </w:rPr>
      </w:pPr>
      <w:r w:rsidRPr="00877BF6">
        <w:rPr>
          <w:sz w:val="20"/>
          <w:szCs w:val="20"/>
        </w:rPr>
        <w:t>Type of opposition</w:t>
      </w:r>
      <w:r w:rsidRPr="00877BF6">
        <w:rPr>
          <w:sz w:val="20"/>
          <w:szCs w:val="20"/>
        </w:rPr>
        <w:br/>
        <w:t xml:space="preserve"> Evidence: Source 11 (Farmers Weekly) documents opposition as economic argument — loss of export market access for sheep farmers. Source 8 (Hansard Commons committee) records parliamentary opposition from farming-constituency MPs and union-aligned Lords. Source 9 (Lords second reading) documents the NFU's position on record. No source documents legal challenge, astroturf activity, or public counter-campaign.</w:t>
      </w:r>
      <w:r w:rsidRPr="00877BF6">
        <w:rPr>
          <w:sz w:val="20"/>
          <w:szCs w:val="20"/>
        </w:rPr>
        <w:br/>
        <w:t xml:space="preserve"> Confidence: High — type of opposition directly and consistently evidenced.</w:t>
      </w:r>
      <w:r w:rsidRPr="00877BF6">
        <w:rPr>
          <w:sz w:val="20"/>
          <w:szCs w:val="20"/>
        </w:rPr>
        <w:br/>
        <w:t xml:space="preserve"> Source Tag: Sources 8, 9, 11.</w:t>
      </w:r>
    </w:p>
    <w:p w14:paraId="20FC9579" w14:textId="77777777" w:rsidR="00877BF6" w:rsidRPr="00877BF6" w:rsidRDefault="00877BF6" w:rsidP="00043AF9">
      <w:pPr>
        <w:numPr>
          <w:ilvl w:val="0"/>
          <w:numId w:val="46"/>
        </w:numPr>
        <w:rPr>
          <w:sz w:val="20"/>
          <w:szCs w:val="20"/>
        </w:rPr>
      </w:pPr>
      <w:r w:rsidRPr="00877BF6">
        <w:rPr>
          <w:sz w:val="20"/>
          <w:szCs w:val="20"/>
        </w:rPr>
        <w:t>Visibility of harm to the public</w:t>
      </w:r>
      <w:r w:rsidRPr="00877BF6">
        <w:rPr>
          <w:sz w:val="20"/>
          <w:szCs w:val="20"/>
        </w:rPr>
        <w:br/>
        <w:t xml:space="preserve"> Evidence: Source 9 (Lords second reading, Lord Douglas-Miller) explicitly references the 1990s as the high-volume period with "several unsuccessful attempts to ban live animal exports through legal challenges by local </w:t>
      </w:r>
      <w:r w:rsidRPr="00877BF6">
        <w:rPr>
          <w:sz w:val="20"/>
          <w:szCs w:val="20"/>
        </w:rPr>
        <w:lastRenderedPageBreak/>
        <w:t>and port authorities" — confirming decades of public salience. Source 15 (RSPCA) documents the 100+ year campaign history and the 2012 Ramsgate incident as a visibility moment. Source 5 (CIWF petition handover) documents the "zombie sheep and calves" protest tactic, which only makes sense as a tactic in a context of established public awareness.</w:t>
      </w:r>
      <w:r w:rsidRPr="00877BF6">
        <w:rPr>
          <w:sz w:val="20"/>
          <w:szCs w:val="20"/>
        </w:rPr>
        <w:br/>
        <w:t xml:space="preserve"> Confidence: High — sustained, documented public visibility confirmed across multiple sources spanning the full campaign history.</w:t>
      </w:r>
      <w:r w:rsidRPr="00877BF6">
        <w:rPr>
          <w:sz w:val="20"/>
          <w:szCs w:val="20"/>
        </w:rPr>
        <w:br/>
        <w:t xml:space="preserve"> Source Tag: Sources 5, 9, 15.</w:t>
      </w:r>
    </w:p>
    <w:p w14:paraId="14FEF862" w14:textId="77777777" w:rsidR="00877BF6" w:rsidRPr="00877BF6" w:rsidRDefault="00877BF6" w:rsidP="00043AF9">
      <w:pPr>
        <w:numPr>
          <w:ilvl w:val="0"/>
          <w:numId w:val="46"/>
        </w:numPr>
        <w:rPr>
          <w:sz w:val="20"/>
          <w:szCs w:val="20"/>
        </w:rPr>
      </w:pPr>
      <w:r w:rsidRPr="00877BF6">
        <w:rPr>
          <w:sz w:val="20"/>
          <w:szCs w:val="20"/>
        </w:rPr>
        <w:t>Degree of behaviour change required</w:t>
      </w:r>
      <w:r w:rsidRPr="00877BF6">
        <w:rPr>
          <w:sz w:val="20"/>
          <w:szCs w:val="20"/>
        </w:rPr>
        <w:br/>
        <w:t xml:space="preserve"> Evidence: Source 13 (CBP-9912) confirms the ban applies to exporters and transport operators, not consumers. Source 9 (Lords second reading) confirms the ban allows exports for breeding, shows, and competitions — only slaughter and fattening exports are prohibited. Source 11 (Farmers Weekly) documents the adjustment required from sheep farmers who previously used export markets.</w:t>
      </w:r>
      <w:r w:rsidRPr="00877BF6">
        <w:rPr>
          <w:sz w:val="20"/>
          <w:szCs w:val="20"/>
        </w:rPr>
        <w:br/>
        <w:t xml:space="preserve"> Confidence: High — legislative scope and industry adjustment requirements directly evidenced.</w:t>
      </w:r>
      <w:r w:rsidRPr="00877BF6">
        <w:rPr>
          <w:sz w:val="20"/>
          <w:szCs w:val="20"/>
        </w:rPr>
        <w:br/>
        <w:t xml:space="preserve"> Source Tag: Sources 9, 11, 13.</w:t>
      </w:r>
    </w:p>
    <w:p w14:paraId="148B8EA3" w14:textId="77777777" w:rsidR="00877BF6" w:rsidRPr="00877BF6" w:rsidRDefault="00877BF6" w:rsidP="00043AF9">
      <w:pPr>
        <w:numPr>
          <w:ilvl w:val="0"/>
          <w:numId w:val="46"/>
        </w:numPr>
        <w:rPr>
          <w:sz w:val="20"/>
          <w:szCs w:val="20"/>
        </w:rPr>
      </w:pPr>
      <w:r w:rsidRPr="00877BF6">
        <w:rPr>
          <w:sz w:val="20"/>
          <w:szCs w:val="20"/>
        </w:rPr>
        <w:t>Role of policy vs market pressure vs cultural shift</w:t>
      </w:r>
      <w:r w:rsidRPr="00877BF6">
        <w:rPr>
          <w:sz w:val="20"/>
          <w:szCs w:val="20"/>
        </w:rPr>
        <w:br/>
        <w:t xml:space="preserve"> Evidence: Source 13 (CBP-9912) and Source 12 (GOV.UK) confirm legislation as the sole mechanism. Source 1 (McCulloch 2019) notes that live exports had already declined substantially due to market and Brexit factors, but the campaign's ask was always statutory — a ban, not a voluntary commitment. Source 9 (Lords second reading) confirms the Bill's purpose was to prevent trade resumption, not respond to ongoing trade.</w:t>
      </w:r>
      <w:r w:rsidRPr="00877BF6">
        <w:rPr>
          <w:sz w:val="20"/>
          <w:szCs w:val="20"/>
        </w:rPr>
        <w:br/>
        <w:t xml:space="preserve"> Confidence: High — policy as primary mechanism uncontested across all sources.</w:t>
      </w:r>
      <w:r w:rsidRPr="00877BF6">
        <w:rPr>
          <w:sz w:val="20"/>
          <w:szCs w:val="20"/>
        </w:rPr>
        <w:br/>
        <w:t xml:space="preserve"> Source Tag: Sources 1, 9, 12, 13.</w:t>
      </w:r>
    </w:p>
    <w:p w14:paraId="48EBBE2F" w14:textId="77777777" w:rsidR="00877BF6" w:rsidRPr="00877BF6" w:rsidRDefault="00877BF6" w:rsidP="00043AF9">
      <w:pPr>
        <w:numPr>
          <w:ilvl w:val="0"/>
          <w:numId w:val="46"/>
        </w:numPr>
        <w:rPr>
          <w:sz w:val="20"/>
          <w:szCs w:val="20"/>
        </w:rPr>
      </w:pPr>
      <w:r w:rsidRPr="00877BF6">
        <w:rPr>
          <w:sz w:val="20"/>
          <w:szCs w:val="20"/>
        </w:rPr>
        <w:t>Coalition size, type, and presence of non-obvious allies</w:t>
      </w:r>
      <w:r w:rsidRPr="00877BF6">
        <w:rPr>
          <w:sz w:val="20"/>
          <w:szCs w:val="20"/>
        </w:rPr>
        <w:br/>
        <w:t xml:space="preserve"> Evidence: Source 6 (World Animal Protection) documents the 40+ organisation Better Deal for Animals coalition. Source 5 (CIWF petition handover) documents the joint petition with 38 Degrees, Avaaz, and SumOfUs — extending beyond the animal welfare sector to civic and global campaigning organisations. Source 9 (Lords second reading) names RSPCA, CIWF, and World Horse Welfare as explicitly acknowledged by the minister. Source 1 (McCulloch 2019) documents the YouGov/Better Deal for Animals polling coalition. The government's own manifesto commitment (Source 2, CBP-8031) made the Conservative Party itself an unusual structural ally.</w:t>
      </w:r>
      <w:r w:rsidRPr="00877BF6">
        <w:rPr>
          <w:sz w:val="20"/>
          <w:szCs w:val="20"/>
        </w:rPr>
        <w:br/>
        <w:t xml:space="preserve"> Confidence: High — coalition composition directly and richly evidenced across multiple sources.</w:t>
      </w:r>
      <w:r w:rsidRPr="00877BF6">
        <w:rPr>
          <w:sz w:val="20"/>
          <w:szCs w:val="20"/>
        </w:rPr>
        <w:br/>
        <w:t xml:space="preserve"> Source Tag: Sources 1, 2, 5, 6, 9.</w:t>
      </w:r>
    </w:p>
    <w:p w14:paraId="16EBE90B" w14:textId="77777777" w:rsidR="00877BF6" w:rsidRPr="00877BF6" w:rsidRDefault="00877BF6" w:rsidP="00043AF9">
      <w:pPr>
        <w:numPr>
          <w:ilvl w:val="0"/>
          <w:numId w:val="46"/>
        </w:numPr>
        <w:rPr>
          <w:sz w:val="20"/>
          <w:szCs w:val="20"/>
        </w:rPr>
      </w:pPr>
      <w:r w:rsidRPr="00877BF6">
        <w:rPr>
          <w:sz w:val="20"/>
          <w:szCs w:val="20"/>
        </w:rPr>
        <w:t>Economic disruption required</w:t>
      </w:r>
      <w:r w:rsidRPr="00877BF6">
        <w:rPr>
          <w:sz w:val="20"/>
          <w:szCs w:val="20"/>
        </w:rPr>
        <w:br/>
        <w:t xml:space="preserve"> Evidence: Source 1 (McCulloch 2019) documents the decline from 752,000 animals exported in 2000 to 43,000 in 2016. Source 9 (Lords second reading) confirms zero recorded exports for slaughter or fattening from Great Britain to the EU since 2020. Source 11 (Farmers Weekly) documents the modest ongoing impact on sheep farmers with export-dependent models. The near-collapse of the trade pre-ban substantially limits the economic disruption of formalising the prohibition.</w:t>
      </w:r>
      <w:r w:rsidRPr="00877BF6">
        <w:rPr>
          <w:sz w:val="20"/>
          <w:szCs w:val="20"/>
        </w:rPr>
        <w:br/>
        <w:t xml:space="preserve"> Confidence: High — export volume data and residual industry impact both directly evidenced.</w:t>
      </w:r>
      <w:r w:rsidRPr="00877BF6">
        <w:rPr>
          <w:sz w:val="20"/>
          <w:szCs w:val="20"/>
        </w:rPr>
        <w:br/>
        <w:t xml:space="preserve"> Source Tag: Sources 1, 9, 11.</w:t>
      </w:r>
    </w:p>
    <w:p w14:paraId="735807E9" w14:textId="77777777" w:rsidR="00877BF6" w:rsidRPr="00877BF6" w:rsidRDefault="00877BF6" w:rsidP="00043AF9">
      <w:pPr>
        <w:numPr>
          <w:ilvl w:val="0"/>
          <w:numId w:val="46"/>
        </w:numPr>
        <w:rPr>
          <w:sz w:val="20"/>
          <w:szCs w:val="20"/>
        </w:rPr>
      </w:pPr>
      <w:r w:rsidRPr="00877BF6">
        <w:rPr>
          <w:sz w:val="20"/>
          <w:szCs w:val="20"/>
        </w:rPr>
        <w:t>Speed of change achieved</w:t>
      </w:r>
      <w:r w:rsidRPr="00877BF6">
        <w:rPr>
          <w:sz w:val="20"/>
          <w:szCs w:val="20"/>
        </w:rPr>
        <w:br/>
        <w:t xml:space="preserve"> Evidence: Source 2 (CBP-8031) confirms June 2017 manifesto commitment as the start. Source 13 (CBP-9912) documents the full legislative journey including the Kept Animals Bill collapse, the December 2023 re-tabling, and the 20 May 2024 commencement. Source 12 (GOV.UK) documents the December 2023 Bill introduction. The seven-year arc from manifesto to ban in force is directly and precisely evidenced.</w:t>
      </w:r>
      <w:r w:rsidRPr="00877BF6">
        <w:rPr>
          <w:sz w:val="20"/>
          <w:szCs w:val="20"/>
        </w:rPr>
        <w:br/>
        <w:t xml:space="preserve"> Confidence: High — precisely dated across multiple primary government sources.</w:t>
      </w:r>
      <w:r w:rsidRPr="00877BF6">
        <w:rPr>
          <w:sz w:val="20"/>
          <w:szCs w:val="20"/>
        </w:rPr>
        <w:br/>
        <w:t xml:space="preserve"> Source Tag: Sources 2, 12, 13.</w:t>
      </w:r>
    </w:p>
    <w:p w14:paraId="13346956" w14:textId="77777777" w:rsidR="00877BF6" w:rsidRPr="00877BF6" w:rsidRDefault="00877BF6" w:rsidP="00043AF9">
      <w:pPr>
        <w:numPr>
          <w:ilvl w:val="0"/>
          <w:numId w:val="46"/>
        </w:numPr>
        <w:rPr>
          <w:sz w:val="20"/>
          <w:szCs w:val="20"/>
        </w:rPr>
      </w:pPr>
      <w:r w:rsidRPr="00877BF6">
        <w:rPr>
          <w:sz w:val="20"/>
          <w:szCs w:val="20"/>
        </w:rPr>
        <w:t>Scale of change achieved</w:t>
      </w:r>
      <w:r w:rsidRPr="00877BF6">
        <w:rPr>
          <w:sz w:val="20"/>
          <w:szCs w:val="20"/>
        </w:rPr>
        <w:br/>
        <w:t xml:space="preserve"> Evidence: Source 13 (CBP-9912) confirms the ban applies to all cattle, sheep, pigs, goats, and horses exported from Great Britain for slaughter and fattening, with no carve-outs within scope. Source 9 (Lords second reading) confirms Northern Ireland exclusion and rationale. Source 15 (RSPCA) contextualises the ban within the global movement. Source 12 (GOV.UK) confirms commencement date.</w:t>
      </w:r>
      <w:r w:rsidRPr="00877BF6">
        <w:rPr>
          <w:sz w:val="20"/>
          <w:szCs w:val="20"/>
        </w:rPr>
        <w:br/>
      </w:r>
      <w:r w:rsidRPr="00877BF6">
        <w:rPr>
          <w:sz w:val="20"/>
          <w:szCs w:val="20"/>
        </w:rPr>
        <w:lastRenderedPageBreak/>
        <w:t xml:space="preserve"> Confidence: High — scope fully and unambiguously documented.</w:t>
      </w:r>
      <w:r w:rsidRPr="00877BF6">
        <w:rPr>
          <w:sz w:val="20"/>
          <w:szCs w:val="20"/>
        </w:rPr>
        <w:br/>
        <w:t xml:space="preserve"> Source Tag: Sources 9, 12, 13, 15.</w:t>
      </w:r>
    </w:p>
    <w:p w14:paraId="5CB9CD1A" w14:textId="77777777" w:rsidR="00877BF6" w:rsidRPr="00877BF6" w:rsidRDefault="00877BF6" w:rsidP="00043AF9">
      <w:pPr>
        <w:numPr>
          <w:ilvl w:val="0"/>
          <w:numId w:val="46"/>
        </w:numPr>
        <w:rPr>
          <w:sz w:val="20"/>
          <w:szCs w:val="20"/>
        </w:rPr>
      </w:pPr>
      <w:r w:rsidRPr="00877BF6">
        <w:rPr>
          <w:sz w:val="20"/>
          <w:szCs w:val="20"/>
        </w:rPr>
        <w:t>Public sentiment starting point</w:t>
      </w:r>
      <w:r w:rsidRPr="00877BF6">
        <w:rPr>
          <w:sz w:val="20"/>
          <w:szCs w:val="20"/>
        </w:rPr>
        <w:br/>
        <w:t xml:space="preserve"> Evidence: The RSPCA EU Referendum Briefing (2016) cites Eurobarometer 2016 finding that 82% of Europeans — including the UK — believed farmed animal welfare should be better protected, directly pre-window. McCulloch 2019 (Source 1) documents the YouGov poll commissioned by the Better Deal for Animals coalition (February 2019, early in the window) finding 81% of British respondents preferred animal welfare laws maintained or extended post-Brexit. Source 10 (Defra 2020 consultation) found 87% of 11,000+ respondents agreed animals should not be exported for slaughter or fattening — included but flagged as a self-selected respondent pool rather than a representative survey. Source 9 (Lords second reading) records Lord Douglas-Miller explicitly describing the UK as "a nation of animal lovers" — confirming government actors' own assessment of the public sentiment they were operating within.</w:t>
      </w:r>
      <w:r w:rsidRPr="00877BF6">
        <w:rPr>
          <w:sz w:val="20"/>
          <w:szCs w:val="20"/>
        </w:rPr>
        <w:br/>
        <w:t xml:space="preserve"> Confidence: High — multiple independent sources converge on a strongly sympathetic pre-campaign starting point; Eurobarometer 2016 is the strongest pre-window general public baseline; YouGov February 2019 is the most directly relevant in-window representative poll; Defra 2020 figure included with appropriate flag.</w:t>
      </w:r>
      <w:r w:rsidRPr="00877BF6">
        <w:rPr>
          <w:sz w:val="20"/>
          <w:szCs w:val="20"/>
        </w:rPr>
        <w:br/>
        <w:t xml:space="preserve"> Source Tag: RSPCA EU Referendum Briefing 2016 (new addition); Source 1 (McCulloch 2019); Source 9; Source 10 (flagged).</w:t>
      </w:r>
    </w:p>
    <w:p w14:paraId="5EFE3583" w14:textId="77777777" w:rsidR="00877BF6" w:rsidRPr="00877BF6" w:rsidRDefault="00877BF6" w:rsidP="00043AF9">
      <w:pPr>
        <w:numPr>
          <w:ilvl w:val="0"/>
          <w:numId w:val="46"/>
        </w:numPr>
        <w:rPr>
          <w:sz w:val="20"/>
          <w:szCs w:val="20"/>
        </w:rPr>
      </w:pPr>
      <w:r w:rsidRPr="00877BF6">
        <w:rPr>
          <w:sz w:val="20"/>
          <w:szCs w:val="20"/>
        </w:rPr>
        <w:t>Legal/regulatory landscape</w:t>
      </w:r>
      <w:r w:rsidRPr="00877BF6">
        <w:rPr>
          <w:sz w:val="20"/>
          <w:szCs w:val="20"/>
        </w:rPr>
        <w:br/>
        <w:t xml:space="preserve"> Evidence: Source 9 (Lords second reading) explicitly states "at that time, we were bound by EU free trade rules that prevented any such prohibition on live exports" — confirming Brexit as the legal enabler. Source 1 (McCulloch 2019) analyses the WTO rules as a theoretical post-Brexit constraint and assesses the public morals exemption as applicable. Source 3 (FAWC Opinion 2019) provides the independent scientific mandate underpinning the legal basis for the ban. Source 13 (CBP-9912) documents the clean domestic legal pathway once the Bill was tabled as standalone.</w:t>
      </w:r>
      <w:r w:rsidRPr="00877BF6">
        <w:rPr>
          <w:sz w:val="20"/>
          <w:szCs w:val="20"/>
        </w:rPr>
        <w:br/>
        <w:t xml:space="preserve"> Confidence: High — EU membership as historic blocker and Brexit as enabler both directly and explicitly evidenced; WTO risk assessed and documented.</w:t>
      </w:r>
      <w:r w:rsidRPr="00877BF6">
        <w:rPr>
          <w:sz w:val="20"/>
          <w:szCs w:val="20"/>
        </w:rPr>
        <w:br/>
        <w:t xml:space="preserve"> Source Tag: Sources 1, 3, 9, 13.</w:t>
      </w:r>
    </w:p>
    <w:p w14:paraId="5957BEFA" w14:textId="77777777" w:rsidR="00877BF6" w:rsidRPr="00877BF6" w:rsidRDefault="00877BF6" w:rsidP="00043AF9">
      <w:pPr>
        <w:numPr>
          <w:ilvl w:val="0"/>
          <w:numId w:val="46"/>
        </w:numPr>
        <w:rPr>
          <w:sz w:val="20"/>
          <w:szCs w:val="20"/>
        </w:rPr>
      </w:pPr>
      <w:r w:rsidRPr="00877BF6">
        <w:rPr>
          <w:sz w:val="20"/>
          <w:szCs w:val="20"/>
        </w:rPr>
        <w:t>Narrative dominance</w:t>
      </w:r>
      <w:r w:rsidRPr="00877BF6">
        <w:rPr>
          <w:sz w:val="20"/>
          <w:szCs w:val="20"/>
        </w:rPr>
        <w:br/>
        <w:t xml:space="preserve"> Evidence: Source 9 (Lords second reading) — the minister's own opening speech invokes the welfare narrative without qualification, indicating complete institutional adoption of the campaign's framing. Source 8 (Hansard Commons committee) shows the welfare framing as uncontested in parliamentary debate with opposition confined to implementation detail, not the principle. Source 11 (Farmers Weekly) documents the farming opposition's economic framing but confirms it did not achieve mainstream or parliamentary resonance. Source 15 (RSPCA) and Source 5 (CIWF) confirm consistent welfare framing throughout.</w:t>
      </w:r>
      <w:r w:rsidRPr="00877BF6">
        <w:rPr>
          <w:sz w:val="20"/>
          <w:szCs w:val="20"/>
        </w:rPr>
        <w:br/>
        <w:t xml:space="preserve"> Confidence: High — narrative dominance directly evidenced by government adoption of campaign framing in ministerial speech; opposition framing confined to trade press.</w:t>
      </w:r>
      <w:r w:rsidRPr="00877BF6">
        <w:rPr>
          <w:sz w:val="20"/>
          <w:szCs w:val="20"/>
        </w:rPr>
        <w:br/>
        <w:t xml:space="preserve"> Source Tag: Sources 5, 8, 9, 11, 15.</w:t>
      </w:r>
    </w:p>
    <w:p w14:paraId="1646553D" w14:textId="77777777" w:rsidR="00877BF6" w:rsidRPr="00877BF6" w:rsidRDefault="00877BF6" w:rsidP="00043AF9">
      <w:pPr>
        <w:numPr>
          <w:ilvl w:val="0"/>
          <w:numId w:val="46"/>
        </w:numPr>
        <w:rPr>
          <w:sz w:val="20"/>
          <w:szCs w:val="20"/>
        </w:rPr>
      </w:pPr>
      <w:r w:rsidRPr="00877BF6">
        <w:rPr>
          <w:sz w:val="20"/>
          <w:szCs w:val="20"/>
        </w:rPr>
        <w:t>Notable Tactics</w:t>
      </w:r>
    </w:p>
    <w:p w14:paraId="2340C587" w14:textId="77777777" w:rsidR="00877BF6" w:rsidRPr="00877BF6" w:rsidRDefault="00877BF6" w:rsidP="00877BF6">
      <w:pPr>
        <w:rPr>
          <w:sz w:val="20"/>
          <w:szCs w:val="20"/>
        </w:rPr>
      </w:pPr>
      <w:r w:rsidRPr="00877BF6">
        <w:rPr>
          <w:sz w:val="20"/>
          <w:szCs w:val="20"/>
        </w:rPr>
        <w:t>a. Brexit window exploitation</w:t>
      </w:r>
      <w:r w:rsidRPr="00877BF6">
        <w:rPr>
          <w:sz w:val="20"/>
          <w:szCs w:val="20"/>
        </w:rPr>
        <w:br/>
        <w:t xml:space="preserve"> Evidence: Source 1 (McCulloch 2019) explicitly frames Brexit as the key opportunity for a live export ban, analysing how the campaign identified and mobilised around the specific legislative window created by leaving the EU. Source 2 (CBP-8031) confirms the 2017 manifesto commitment as the campaign's first in-window success, directly enabled by Brexit.</w:t>
      </w:r>
      <w:r w:rsidRPr="00877BF6">
        <w:rPr>
          <w:sz w:val="20"/>
          <w:szCs w:val="20"/>
        </w:rPr>
        <w:br/>
        <w:t xml:space="preserve"> Confidence: High — causal link between Brexit opportunity and campaign escalation directly and analytically evidenced.</w:t>
      </w:r>
      <w:r w:rsidRPr="00877BF6">
        <w:rPr>
          <w:sz w:val="20"/>
          <w:szCs w:val="20"/>
        </w:rPr>
        <w:br/>
        <w:t xml:space="preserve"> Source Tag: Sources 1, 2.</w:t>
      </w:r>
    </w:p>
    <w:p w14:paraId="06E680A5" w14:textId="77777777" w:rsidR="00877BF6" w:rsidRPr="00877BF6" w:rsidRDefault="00877BF6" w:rsidP="00877BF6">
      <w:pPr>
        <w:rPr>
          <w:sz w:val="20"/>
          <w:szCs w:val="20"/>
        </w:rPr>
      </w:pPr>
      <w:r w:rsidRPr="00877BF6">
        <w:rPr>
          <w:sz w:val="20"/>
          <w:szCs w:val="20"/>
        </w:rPr>
        <w:t>b. Cross-party manifesto commitment secured</w:t>
      </w:r>
      <w:r w:rsidRPr="00877BF6">
        <w:rPr>
          <w:sz w:val="20"/>
          <w:szCs w:val="20"/>
        </w:rPr>
        <w:br/>
        <w:t xml:space="preserve"> Evidence: Source 2 (CBP-8031) documents the 2017 Conservative manifesto commitment explicitly. Source 9 (Lords second reading) confirms the Bill was explicitly presented as fulfilling a manifesto commitment — creating a political accountability mechanism the campaign could hold the government to throughout the window.</w:t>
      </w:r>
      <w:r w:rsidRPr="00877BF6">
        <w:rPr>
          <w:sz w:val="20"/>
          <w:szCs w:val="20"/>
        </w:rPr>
        <w:br/>
        <w:t xml:space="preserve"> Confidence: High — manifesto commitment and its accountability function directly evidenced.</w:t>
      </w:r>
      <w:r w:rsidRPr="00877BF6">
        <w:rPr>
          <w:sz w:val="20"/>
          <w:szCs w:val="20"/>
        </w:rPr>
        <w:br/>
        <w:t xml:space="preserve"> Source Tag: Sources 2, 9.</w:t>
      </w:r>
    </w:p>
    <w:p w14:paraId="53E2010C" w14:textId="77777777" w:rsidR="00877BF6" w:rsidRPr="00877BF6" w:rsidRDefault="00877BF6" w:rsidP="00877BF6">
      <w:pPr>
        <w:rPr>
          <w:sz w:val="20"/>
          <w:szCs w:val="20"/>
        </w:rPr>
      </w:pPr>
      <w:r w:rsidRPr="00877BF6">
        <w:rPr>
          <w:sz w:val="20"/>
          <w:szCs w:val="20"/>
        </w:rPr>
        <w:lastRenderedPageBreak/>
        <w:t>c. One million signature petition coalition with non-aligned organisations</w:t>
      </w:r>
      <w:r w:rsidRPr="00877BF6">
        <w:rPr>
          <w:sz w:val="20"/>
          <w:szCs w:val="20"/>
        </w:rPr>
        <w:br/>
        <w:t xml:space="preserve"> Evidence: Source 5 (CIWF petition handover) explicitly documents the joint petition with 38 Degrees, Avaaz, and SumOfUs — organisations that do not typically coordinate on animal welfare — delivering over one million signatures to Defra in October 2018. The tactic combined the credibility of established animal welfare organisations with the reach of mass civic campaigning platforms.</w:t>
      </w:r>
      <w:r w:rsidRPr="00877BF6">
        <w:rPr>
          <w:sz w:val="20"/>
          <w:szCs w:val="20"/>
        </w:rPr>
        <w:br/>
        <w:t xml:space="preserve"> Confidence: High — directly evidenced in primary source with specific coalition partners named and signature count confirmed.</w:t>
      </w:r>
      <w:r w:rsidRPr="00877BF6">
        <w:rPr>
          <w:sz w:val="20"/>
          <w:szCs w:val="20"/>
        </w:rPr>
        <w:br/>
        <w:t xml:space="preserve"> Source Tag: Source 5.</w:t>
      </w:r>
    </w:p>
    <w:p w14:paraId="204F11A9" w14:textId="77777777" w:rsidR="00877BF6" w:rsidRPr="00877BF6" w:rsidRDefault="00877BF6" w:rsidP="00877BF6">
      <w:pPr>
        <w:rPr>
          <w:sz w:val="20"/>
          <w:szCs w:val="20"/>
        </w:rPr>
      </w:pPr>
      <w:r w:rsidRPr="00877BF6">
        <w:rPr>
          <w:sz w:val="20"/>
          <w:szCs w:val="20"/>
        </w:rPr>
        <w:t>d. Standalone Bill strategy after omnibus Bill collapse</w:t>
      </w:r>
      <w:r w:rsidRPr="00877BF6">
        <w:rPr>
          <w:sz w:val="20"/>
          <w:szCs w:val="20"/>
        </w:rPr>
        <w:br/>
        <w:t xml:space="preserve"> Evidence: Source 13 (CBP-9912) documents the collapse of the Kept Animals Bill in 2022 and the subsequent re-tabling of the live export ban as a standalone Bill (Animal Welfare (Livestock Exports) Bill) in December 2023. Source 12 (GOV.UK) documents the standalone Bill introduction. The strategy of disaggregating the measure from a broader contested vehicle preserved it through a period of parliamentary instability.</w:t>
      </w:r>
      <w:r w:rsidRPr="00877BF6">
        <w:rPr>
          <w:sz w:val="20"/>
          <w:szCs w:val="20"/>
        </w:rPr>
        <w:br/>
        <w:t xml:space="preserve"> Confidence: High — directly evidenced across two government sources with precise dates.</w:t>
      </w:r>
      <w:r w:rsidRPr="00877BF6">
        <w:rPr>
          <w:sz w:val="20"/>
          <w:szCs w:val="20"/>
        </w:rPr>
        <w:br/>
        <w:t xml:space="preserve"> Source Tag: Sources 12, 13.</w:t>
      </w:r>
    </w:p>
    <w:p w14:paraId="1465543E" w14:textId="77777777" w:rsidR="00877BF6" w:rsidRPr="00877BF6" w:rsidRDefault="00877BF6" w:rsidP="00877BF6">
      <w:pPr>
        <w:rPr>
          <w:sz w:val="20"/>
          <w:szCs w:val="20"/>
        </w:rPr>
      </w:pPr>
      <w:r w:rsidRPr="00877BF6">
        <w:rPr>
          <w:sz w:val="20"/>
          <w:szCs w:val="20"/>
        </w:rPr>
        <w:t>e. Scientific expert body mobilisation</w:t>
      </w:r>
      <w:r w:rsidRPr="00877BF6">
        <w:rPr>
          <w:sz w:val="20"/>
          <w:szCs w:val="20"/>
        </w:rPr>
        <w:br/>
        <w:t xml:space="preserve"> Evidence: Source 3 (FAWC Opinion 2019) is itself the primary artifact of this tactic — a government-commissioned independent scientific body recommending animals be transported only when necessary. Source 9 (Lords second reading) explicitly cites the FAWC report as foundational to the Bill's rationale — confirming the tactic succeeded in embedding independent scientific authority into the legislative case.</w:t>
      </w:r>
      <w:r w:rsidRPr="00877BF6">
        <w:rPr>
          <w:sz w:val="20"/>
          <w:szCs w:val="20"/>
        </w:rPr>
        <w:br/>
        <w:t xml:space="preserve"> Confidence: High — FAWC Opinion directly verified; its legislative function confirmed in ministerial speech.</w:t>
      </w:r>
      <w:r w:rsidRPr="00877BF6">
        <w:rPr>
          <w:sz w:val="20"/>
          <w:szCs w:val="20"/>
        </w:rPr>
        <w:br/>
        <w:t xml:space="preserve"> Source Tag: Sources 3, 9.</w:t>
      </w:r>
    </w:p>
    <w:p w14:paraId="0E5D8BD1" w14:textId="77777777" w:rsidR="00877BF6" w:rsidRPr="00877BF6" w:rsidRDefault="00641196" w:rsidP="00877BF6">
      <w:pPr>
        <w:rPr>
          <w:sz w:val="20"/>
          <w:szCs w:val="20"/>
        </w:rPr>
      </w:pPr>
      <w:r>
        <w:rPr>
          <w:sz w:val="20"/>
          <w:szCs w:val="20"/>
        </w:rPr>
        <w:pict w14:anchorId="7FD7C0EA">
          <v:rect id="_x0000_i1032" style="width:0;height:1.5pt" o:hralign="center" o:hrstd="t" o:hr="t" fillcolor="#a0a0a0" stroked="f"/>
        </w:pict>
      </w:r>
    </w:p>
    <w:p w14:paraId="35C99ABB" w14:textId="77777777" w:rsidR="00877BF6" w:rsidRPr="00877BF6" w:rsidRDefault="00877BF6" w:rsidP="00877BF6">
      <w:pPr>
        <w:rPr>
          <w:sz w:val="20"/>
          <w:szCs w:val="20"/>
        </w:rPr>
      </w:pPr>
      <w:r w:rsidRPr="00877BF6">
        <w:rPr>
          <w:b/>
          <w:bCs/>
          <w:sz w:val="20"/>
          <w:szCs w:val="20"/>
        </w:rPr>
        <w:t>SOURCE-TO-VARIABLE MAPPING</w:t>
      </w:r>
    </w:p>
    <w:p w14:paraId="1241CE8E" w14:textId="77777777" w:rsidR="00877BF6" w:rsidRPr="00877BF6" w:rsidRDefault="00877BF6" w:rsidP="00877BF6">
      <w:pPr>
        <w:rPr>
          <w:sz w:val="20"/>
          <w:szCs w:val="20"/>
        </w:rPr>
      </w:pPr>
      <w:r w:rsidRPr="00877BF6">
        <w:rPr>
          <w:sz w:val="20"/>
          <w:szCs w:val="20"/>
        </w:rPr>
        <w:t>Source 1 (McCulloch 2019) — 7, 8, 9, 12, 13, 15a, 15b</w:t>
      </w:r>
      <w:r w:rsidRPr="00877BF6">
        <w:rPr>
          <w:sz w:val="20"/>
          <w:szCs w:val="20"/>
        </w:rPr>
        <w:br/>
        <w:t xml:space="preserve"> Source 2 (Commons Library CBP-8031) — 1, 7, 10, 15a, 15b</w:t>
      </w:r>
      <w:r w:rsidRPr="00877BF6">
        <w:rPr>
          <w:sz w:val="20"/>
          <w:szCs w:val="20"/>
        </w:rPr>
        <w:br/>
        <w:t xml:space="preserve"> Source 3 (FAWC Opinion 2019) — 13, 15e</w:t>
      </w:r>
      <w:r w:rsidRPr="00877BF6">
        <w:rPr>
          <w:sz w:val="20"/>
          <w:szCs w:val="20"/>
        </w:rPr>
        <w:br/>
        <w:t xml:space="preserve"> Source 4 (Parliament petition) — 8 (petition volume context)</w:t>
      </w:r>
      <w:r w:rsidRPr="00877BF6">
        <w:rPr>
          <w:sz w:val="20"/>
          <w:szCs w:val="20"/>
        </w:rPr>
        <w:br/>
        <w:t xml:space="preserve"> Source 5 (CIWF petition handover) — 5, 8, 15c</w:t>
      </w:r>
      <w:r w:rsidRPr="00877BF6">
        <w:rPr>
          <w:sz w:val="20"/>
          <w:szCs w:val="20"/>
        </w:rPr>
        <w:br/>
        <w:t xml:space="preserve"> Source 6 (World Animal Protection) — 8</w:t>
      </w:r>
      <w:r w:rsidRPr="00877BF6">
        <w:rPr>
          <w:sz w:val="20"/>
          <w:szCs w:val="20"/>
        </w:rPr>
        <w:br/>
        <w:t xml:space="preserve"> Source 7 (Defra call for evidence 2018) — 13 (context)</w:t>
      </w:r>
      <w:r w:rsidRPr="00877BF6">
        <w:rPr>
          <w:sz w:val="20"/>
          <w:szCs w:val="20"/>
        </w:rPr>
        <w:br/>
        <w:t xml:space="preserve"> Source 8 (Hansard Commons committee) — 3, 4, 14</w:t>
      </w:r>
      <w:r w:rsidRPr="00877BF6">
        <w:rPr>
          <w:sz w:val="20"/>
          <w:szCs w:val="20"/>
        </w:rPr>
        <w:br/>
        <w:t xml:space="preserve"> Source 9 (Hansard Lords second reading) — 1, 2, 3, 4, 5, 6, 9, 11, 12, 13, 14, 15b</w:t>
      </w:r>
      <w:r w:rsidRPr="00877BF6">
        <w:rPr>
          <w:sz w:val="20"/>
          <w:szCs w:val="20"/>
        </w:rPr>
        <w:br/>
        <w:t xml:space="preserve"> Source 10 (Defra consultation 2020) — 12 (flagged)</w:t>
      </w:r>
      <w:r w:rsidRPr="00877BF6">
        <w:rPr>
          <w:sz w:val="20"/>
          <w:szCs w:val="20"/>
        </w:rPr>
        <w:br/>
        <w:t xml:space="preserve"> Source 11 (Farmers Weekly) — 3, 4, 6, 9, 14</w:t>
      </w:r>
      <w:r w:rsidRPr="00877BF6">
        <w:rPr>
          <w:sz w:val="20"/>
          <w:szCs w:val="20"/>
        </w:rPr>
        <w:br/>
        <w:t xml:space="preserve"> Source 12 (GOV.UK announcement 2023) — 1, 7, 10, 11, 15d</w:t>
      </w:r>
      <w:r w:rsidRPr="00877BF6">
        <w:rPr>
          <w:sz w:val="20"/>
          <w:szCs w:val="20"/>
        </w:rPr>
        <w:br/>
        <w:t xml:space="preserve"> Source 13 (Commons Library CBP-9912) — 1, 2, 6, 7, 10, 11, 13, 15d</w:t>
      </w:r>
      <w:r w:rsidRPr="00877BF6">
        <w:rPr>
          <w:sz w:val="20"/>
          <w:szCs w:val="20"/>
        </w:rPr>
        <w:br/>
        <w:t xml:space="preserve"> Source 14 (Lords Library LLN-2024-0001) — 10, 11 (legislative process corroboration)</w:t>
      </w:r>
      <w:r w:rsidRPr="00877BF6">
        <w:rPr>
          <w:sz w:val="20"/>
          <w:szCs w:val="20"/>
        </w:rPr>
        <w:br/>
        <w:t xml:space="preserve"> Source 15 (RSPCA outcome page) — 5, 11</w:t>
      </w:r>
      <w:r w:rsidRPr="00877BF6">
        <w:rPr>
          <w:sz w:val="20"/>
          <w:szCs w:val="20"/>
        </w:rPr>
        <w:br/>
        <w:t xml:space="preserve"> RSPCA EU Referendum Briefing 2016 (new addition) — 12</w:t>
      </w:r>
    </w:p>
    <w:p w14:paraId="019DD02B" w14:textId="77777777" w:rsidR="00877BF6" w:rsidRPr="00877BF6" w:rsidRDefault="00641196" w:rsidP="00877BF6">
      <w:pPr>
        <w:rPr>
          <w:sz w:val="20"/>
          <w:szCs w:val="20"/>
        </w:rPr>
      </w:pPr>
      <w:r>
        <w:rPr>
          <w:sz w:val="20"/>
          <w:szCs w:val="20"/>
        </w:rPr>
        <w:pict w14:anchorId="1310E020">
          <v:rect id="_x0000_i1033" style="width:0;height:1.5pt" o:hralign="center" o:hrstd="t" o:hr="t" fillcolor="#a0a0a0" stroked="f"/>
        </w:pict>
      </w:r>
    </w:p>
    <w:p w14:paraId="1E47A60A" w14:textId="77777777" w:rsidR="00877BF6" w:rsidRPr="00877BF6" w:rsidRDefault="00877BF6" w:rsidP="00877BF6">
      <w:pPr>
        <w:rPr>
          <w:sz w:val="20"/>
          <w:szCs w:val="20"/>
        </w:rPr>
      </w:pPr>
      <w:r w:rsidRPr="00877BF6">
        <w:rPr>
          <w:b/>
          <w:bCs/>
          <w:sz w:val="20"/>
          <w:szCs w:val="20"/>
        </w:rPr>
        <w:t>OBSERVATION</w:t>
      </w:r>
    </w:p>
    <w:p w14:paraId="3DB98BC0" w14:textId="77777777" w:rsidR="00877BF6" w:rsidRPr="00877BF6" w:rsidRDefault="00877BF6" w:rsidP="00877BF6">
      <w:pPr>
        <w:rPr>
          <w:sz w:val="20"/>
          <w:szCs w:val="20"/>
        </w:rPr>
      </w:pPr>
      <w:r w:rsidRPr="00877BF6">
        <w:rPr>
          <w:sz w:val="20"/>
          <w:szCs w:val="20"/>
        </w:rPr>
        <w:t>Source 9 (Lords second reading transcript) is the most load-bearing single source, contributing to 13 variables — which reflects its status as a comprehensive parliamentary record covering ministerial statement, coalition acknowledgment, opposition voices, legal rationale, and narrative framing in a single document. This is not a concentration risk in the same sense as a single academic chapter, as it is an official parliamentary record corroborated by multiple independent sources across every key variable. Sources 3, 5, and 13 each anchor specific Notable Tactics with primary artifact-level evidence. Source 11 (Farmers Weekly) provides the only sustained opposition-perspective voice and is well-balanced by the pro-campaign sources. Source 4 (Parliament petition) and Source 7 (Defra call for evidence) contribute primarily as process documentation rather than variable-coding evidence.</w:t>
      </w:r>
    </w:p>
    <w:p w14:paraId="123319FC" w14:textId="77777777" w:rsidR="00877BF6" w:rsidRPr="00877BF6" w:rsidRDefault="00641196" w:rsidP="00877BF6">
      <w:pPr>
        <w:rPr>
          <w:sz w:val="20"/>
          <w:szCs w:val="20"/>
        </w:rPr>
      </w:pPr>
      <w:r>
        <w:rPr>
          <w:sz w:val="20"/>
          <w:szCs w:val="20"/>
        </w:rPr>
        <w:lastRenderedPageBreak/>
        <w:pict w14:anchorId="0972F3A2">
          <v:rect id="_x0000_i1034" style="width:0;height:1.5pt" o:hralign="center" o:hrstd="t" o:hr="t" fillcolor="#a0a0a0" stroked="f"/>
        </w:pict>
      </w:r>
    </w:p>
    <w:p w14:paraId="4D789071" w14:textId="77777777" w:rsidR="00877BF6" w:rsidRPr="00877BF6" w:rsidRDefault="00877BF6" w:rsidP="00877BF6">
      <w:pPr>
        <w:rPr>
          <w:sz w:val="20"/>
          <w:szCs w:val="20"/>
        </w:rPr>
      </w:pPr>
      <w:r w:rsidRPr="00877BF6">
        <w:rPr>
          <w:b/>
          <w:bCs/>
          <w:sz w:val="20"/>
          <w:szCs w:val="20"/>
        </w:rPr>
        <w:t>CASE-LEVEL SUMMARY</w:t>
      </w:r>
    </w:p>
    <w:p w14:paraId="254A2C39" w14:textId="77777777" w:rsidR="00877BF6" w:rsidRPr="00877BF6" w:rsidRDefault="00877BF6" w:rsidP="00877BF6">
      <w:pPr>
        <w:rPr>
          <w:sz w:val="20"/>
          <w:szCs w:val="20"/>
        </w:rPr>
      </w:pPr>
      <w:r w:rsidRPr="00877BF6">
        <w:rPr>
          <w:sz w:val="20"/>
          <w:szCs w:val="20"/>
        </w:rPr>
        <w:t>Variables coded at Insufficient: None.</w:t>
      </w:r>
      <w:r w:rsidRPr="00877BF6">
        <w:rPr>
          <w:sz w:val="20"/>
          <w:szCs w:val="20"/>
        </w:rPr>
        <w:br/>
        <w:t xml:space="preserve"> Variables coded at Medium confidence: None — all 15 variables including Notable Tactics are at High confidence.</w:t>
      </w:r>
      <w:r w:rsidRPr="00877BF6">
        <w:rPr>
          <w:sz w:val="20"/>
          <w:szCs w:val="20"/>
        </w:rPr>
        <w:br/>
        <w:t xml:space="preserve"> Phase 1 exception used: None — all variable codings draw from in-window locked sources. The RSPCA EU Referendum Briefing (2016) is technically pre-window but is used only for Variable 12 (Public sentiment starting point), which explicitly requires pre-campaign baseline evidence per the variable definition. This is not a Phase 1 exception under the protocol — it is the correct application of the variable's own definition.</w:t>
      </w:r>
      <w:r w:rsidRPr="00877BF6">
        <w:rPr>
          <w:sz w:val="20"/>
          <w:szCs w:val="20"/>
        </w:rPr>
        <w:br/>
        <w:t xml:space="preserve"> Mixed/Unresolved: Not applicable — campaign resolved cleanly (Royal Assent 10 May 2024, ban in force 20 May 2024).</w:t>
      </w:r>
    </w:p>
    <w:p w14:paraId="298F5323" w14:textId="77777777" w:rsidR="00877BF6" w:rsidRPr="00877BF6" w:rsidRDefault="00877BF6" w:rsidP="00877BF6">
      <w:pPr>
        <w:rPr>
          <w:sz w:val="20"/>
          <w:szCs w:val="20"/>
        </w:rPr>
      </w:pPr>
      <w:r w:rsidRPr="00877BF6">
        <w:rPr>
          <w:b/>
          <w:bCs/>
          <w:sz w:val="20"/>
          <w:szCs w:val="20"/>
        </w:rPr>
        <w:t>OVERALL CASE CONFIDENCE/QUALITY FLAG</w:t>
      </w:r>
      <w:r w:rsidRPr="00877BF6">
        <w:rPr>
          <w:b/>
          <w:bCs/>
          <w:sz w:val="20"/>
          <w:szCs w:val="20"/>
        </w:rPr>
        <w:br/>
      </w:r>
      <w:r w:rsidRPr="00877BF6">
        <w:rPr>
          <w:sz w:val="20"/>
          <w:szCs w:val="20"/>
        </w:rPr>
        <w:t xml:space="preserve"> High. All 15 variables including all five Notable Tactics are at High confidence. Source diversity is strong — official parliamentary transcripts (two), independent government expert committee opinion, peer-reviewed academic analysis, government consultation records, parliamentary petition record, campaign actor primary sources, trade press opposition coverage, and independent parliamentary library briefings (two). The case resolved cleanly within the window, no Mixed/Unresolved coding was needed, and no Phase 1 exceptions were required for variable coding.</w:t>
      </w:r>
    </w:p>
    <w:p w14:paraId="7A7523AD" w14:textId="77777777" w:rsidR="00877BF6" w:rsidRPr="00877BF6" w:rsidRDefault="00641196" w:rsidP="00877BF6">
      <w:pPr>
        <w:rPr>
          <w:sz w:val="20"/>
          <w:szCs w:val="20"/>
        </w:rPr>
      </w:pPr>
      <w:r>
        <w:rPr>
          <w:sz w:val="20"/>
          <w:szCs w:val="20"/>
        </w:rPr>
        <w:pict w14:anchorId="19F956AF">
          <v:rect id="_x0000_i1035" style="width:0;height:1.5pt" o:hralign="center" o:hrstd="t" o:hr="t" fillcolor="#a0a0a0" stroked="f"/>
        </w:pict>
      </w:r>
    </w:p>
    <w:p w14:paraId="7AE6AC5D" w14:textId="77777777" w:rsidR="00877BF6" w:rsidRPr="00877BF6" w:rsidRDefault="00877BF6" w:rsidP="00877BF6">
      <w:pPr>
        <w:rPr>
          <w:sz w:val="20"/>
          <w:szCs w:val="20"/>
        </w:rPr>
      </w:pPr>
      <w:r w:rsidRPr="00877BF6">
        <w:rPr>
          <w:b/>
          <w:bCs/>
          <w:sz w:val="20"/>
          <w:szCs w:val="20"/>
        </w:rPr>
        <w:t>HINDSIGHT NOTES</w:t>
      </w:r>
    </w:p>
    <w:p w14:paraId="7E6F6A30" w14:textId="77777777" w:rsidR="00877BF6" w:rsidRPr="00877BF6" w:rsidRDefault="00877BF6" w:rsidP="00877BF6">
      <w:pPr>
        <w:rPr>
          <w:sz w:val="20"/>
          <w:szCs w:val="20"/>
        </w:rPr>
      </w:pPr>
      <w:r w:rsidRPr="00877BF6">
        <w:rPr>
          <w:sz w:val="20"/>
          <w:szCs w:val="20"/>
        </w:rPr>
        <w:t>Variable 9 (Economic disruption) — the ban's real-world economic impact on farming businesses will become clearer in 2025–26 as post-implementation data emerges; current coding reflects the pre-ban near-collapse of the trade, which substantially limits disruption. Not resolvable from current locked sources.</w:t>
      </w:r>
      <w:r w:rsidRPr="00877BF6">
        <w:rPr>
          <w:sz w:val="20"/>
          <w:szCs w:val="20"/>
        </w:rPr>
        <w:br/>
        <w:t xml:space="preserve"> Variable 11 (Scale) — Northern Ireland's exclusion means the ban is incomplete at the Great Britain level; future policy development regarding Northern Ireland's alignment with the rest of the UK on this issue would affect the scale coding retrospectively. Not determinable from current sources.</w:t>
      </w:r>
      <w:r w:rsidRPr="00877BF6">
        <w:rPr>
          <w:sz w:val="20"/>
          <w:szCs w:val="20"/>
        </w:rPr>
        <w:br/>
        <w:t xml:space="preserve"> Variable 15d (Standalone Bill strategy) — the collapse of the Kept Animals Bill and the need to re-table as a standalone Bill added approximately two years to the campaign timeline; this is a cautionary hindsight note for other campaigns embedding priority measures in omnibus legislation during periods of political instability.</w:t>
      </w:r>
    </w:p>
    <w:p w14:paraId="7FBEBDC9" w14:textId="0DEA1354" w:rsidR="00E343DE" w:rsidRDefault="00E343DE" w:rsidP="00E343DE">
      <w:pPr>
        <w:pStyle w:val="Heading1"/>
      </w:pPr>
      <w:r>
        <w:t>CASE 7: New Zealand live export ban (2019-2026)</w:t>
      </w:r>
    </w:p>
    <w:p w14:paraId="2FCF5767" w14:textId="77777777" w:rsidR="003D505B" w:rsidRPr="003D505B" w:rsidRDefault="003D505B" w:rsidP="003D505B">
      <w:pPr>
        <w:rPr>
          <w:b/>
          <w:bCs/>
          <w:sz w:val="20"/>
          <w:szCs w:val="20"/>
        </w:rPr>
      </w:pPr>
      <w:r w:rsidRPr="003D505B">
        <w:rPr>
          <w:sz w:val="20"/>
          <w:szCs w:val="20"/>
        </w:rPr>
        <w:t>LIST B — EVIDENCE / CONFIDENCE / SOURCE TAG</w:t>
      </w:r>
    </w:p>
    <w:p w14:paraId="4058DFC3" w14:textId="77777777" w:rsidR="003D505B" w:rsidRPr="003D505B" w:rsidRDefault="003D505B" w:rsidP="00043AF9">
      <w:pPr>
        <w:numPr>
          <w:ilvl w:val="0"/>
          <w:numId w:val="47"/>
        </w:numPr>
        <w:rPr>
          <w:sz w:val="20"/>
          <w:szCs w:val="20"/>
        </w:rPr>
      </w:pPr>
      <w:r w:rsidRPr="003D505B">
        <w:rPr>
          <w:sz w:val="20"/>
          <w:szCs w:val="20"/>
        </w:rPr>
        <w:t>Target type</w:t>
      </w:r>
      <w:r w:rsidRPr="003D505B">
        <w:rPr>
          <w:sz w:val="20"/>
          <w:szCs w:val="20"/>
        </w:rPr>
        <w:br/>
        <w:t xml:space="preserve"> Evidence: Source 9 (MPI Regulatory Impact Statement) confirms Cabinet as the primary decision-maker, announcing the ban on 14 April 2021 and directing MPI to implement via primary legislation. Source 10 (Animal Welfare Amendment Bill) confirms the Minister of Agriculture as the Bill's sponsor and the Parliamentary mechanism. Source 8 (Beehive announcement) confirms the legislative pathway and species covered.</w:t>
      </w:r>
      <w:r w:rsidRPr="003D505B">
        <w:rPr>
          <w:sz w:val="20"/>
          <w:szCs w:val="20"/>
        </w:rPr>
        <w:br/>
        <w:t xml:space="preserve"> Confidence: High — directly and consistently evidenced across three primary government sources.</w:t>
      </w:r>
      <w:r w:rsidRPr="003D505B">
        <w:rPr>
          <w:sz w:val="20"/>
          <w:szCs w:val="20"/>
        </w:rPr>
        <w:br/>
        <w:t xml:space="preserve"> Source Tag: Sources 8, 9, 10.</w:t>
      </w:r>
    </w:p>
    <w:p w14:paraId="2C8D1169" w14:textId="77777777" w:rsidR="003D505B" w:rsidRPr="003D505B" w:rsidRDefault="003D505B" w:rsidP="00043AF9">
      <w:pPr>
        <w:numPr>
          <w:ilvl w:val="0"/>
          <w:numId w:val="47"/>
        </w:numPr>
        <w:rPr>
          <w:sz w:val="20"/>
          <w:szCs w:val="20"/>
        </w:rPr>
      </w:pPr>
      <w:r w:rsidRPr="003D505B">
        <w:rPr>
          <w:sz w:val="20"/>
          <w:szCs w:val="20"/>
        </w:rPr>
        <w:t>Concentration of decision-making power</w:t>
      </w:r>
      <w:r w:rsidRPr="003D505B">
        <w:rPr>
          <w:sz w:val="20"/>
          <w:szCs w:val="20"/>
        </w:rPr>
        <w:br/>
        <w:t xml:space="preserve"> Evidence: Source 9 (MPI RIS) confirms Cabinet made the decisive policy decision on 14 April 2021 with a single announcement [CAB-21-MIN-0091 referenced]. Source 6 (RNZ select committee) confirms the select committee vote was tied (three Labour + three National + one ACT), with the committee unable to agree — yet MPI's departmental report confirmed the government's prior commitment to proceed regardless, demonstrating the effective concentration of decision-making in Cabinet rather than Parliament. Source 7 (Hansard third reading) confirms the Bill passed on party lines.</w:t>
      </w:r>
      <w:r w:rsidRPr="003D505B">
        <w:rPr>
          <w:sz w:val="20"/>
          <w:szCs w:val="20"/>
        </w:rPr>
        <w:br/>
        <w:t xml:space="preserve"> Confidence: High — Cabinet concentration directly evidenced; select committee dynamic confirms the decision was not meaningfully distributed.</w:t>
      </w:r>
      <w:r w:rsidRPr="003D505B">
        <w:rPr>
          <w:sz w:val="20"/>
          <w:szCs w:val="20"/>
        </w:rPr>
        <w:br/>
        <w:t xml:space="preserve"> Source Tag: Sources 6, 7, 9.</w:t>
      </w:r>
    </w:p>
    <w:p w14:paraId="3AE1AD41" w14:textId="77777777" w:rsidR="003D505B" w:rsidRPr="003D505B" w:rsidRDefault="003D505B" w:rsidP="00043AF9">
      <w:pPr>
        <w:numPr>
          <w:ilvl w:val="0"/>
          <w:numId w:val="47"/>
        </w:numPr>
        <w:rPr>
          <w:sz w:val="20"/>
          <w:szCs w:val="20"/>
        </w:rPr>
      </w:pPr>
      <w:r w:rsidRPr="003D505B">
        <w:rPr>
          <w:sz w:val="20"/>
          <w:szCs w:val="20"/>
        </w:rPr>
        <w:lastRenderedPageBreak/>
        <w:t>Strength of opposition</w:t>
      </w:r>
      <w:r w:rsidRPr="003D505B">
        <w:rPr>
          <w:sz w:val="20"/>
          <w:szCs w:val="20"/>
        </w:rPr>
        <w:br/>
        <w:t xml:space="preserve"> Evidence: Source 6 (RNZ) documents the select committee split and National's formal opposition. Source 7 (Hansard third reading) records National (Kuriger) and ACT (Cameron) opposition speeches with specific economic figures. Source 9 (MPI RIS) names Federated Farmers and Beef + Lamb NZ as formal submitters opposing the ban. Category B (NZ Herald LENZ story) confirms that industry assessed SAFE as a "formidable opponent" and felt it needed $1M to counter the campaign — confirming industry's own assessment of its relative weakness during the campaign window.</w:t>
      </w:r>
      <w:r w:rsidRPr="003D505B">
        <w:rPr>
          <w:sz w:val="20"/>
          <w:szCs w:val="20"/>
        </w:rPr>
        <w:br/>
        <w:t xml:space="preserve"> Confidence: High — opposition documented across parliamentary record, government policy document, and industry's own retrospective assessment.</w:t>
      </w:r>
      <w:r w:rsidRPr="003D505B">
        <w:rPr>
          <w:sz w:val="20"/>
          <w:szCs w:val="20"/>
        </w:rPr>
        <w:br/>
        <w:t xml:space="preserve"> Source Tag: Sources 6, 7, 9; Category B (NZ Herald).</w:t>
      </w:r>
    </w:p>
    <w:p w14:paraId="7EC074B8" w14:textId="77777777" w:rsidR="003D505B" w:rsidRPr="003D505B" w:rsidRDefault="003D505B" w:rsidP="00043AF9">
      <w:pPr>
        <w:numPr>
          <w:ilvl w:val="0"/>
          <w:numId w:val="47"/>
        </w:numPr>
        <w:rPr>
          <w:sz w:val="20"/>
          <w:szCs w:val="20"/>
        </w:rPr>
      </w:pPr>
      <w:r w:rsidRPr="003D505B">
        <w:rPr>
          <w:sz w:val="20"/>
          <w:szCs w:val="20"/>
        </w:rPr>
        <w:t>Type of opposition</w:t>
      </w:r>
      <w:r w:rsidRPr="003D505B">
        <w:rPr>
          <w:sz w:val="20"/>
          <w:szCs w:val="20"/>
        </w:rPr>
        <w:br/>
        <w:t xml:space="preserve"> Evidence: Source 7 (Hansard) documents the National and ACT opposition framing — economic loss to rural communities ($261M annual value cited by ACT's Cameron), not a welfare-based counter-argument. Source 9 (MPI RIS) documents Federated Farmers and Beef + Lamb NZ opposition through formal submission channels. No source documents a legal challenge, astroturf campaign, or organised public counter-campaign within the campaign window.</w:t>
      </w:r>
      <w:r w:rsidRPr="003D505B">
        <w:rPr>
          <w:sz w:val="20"/>
          <w:szCs w:val="20"/>
        </w:rPr>
        <w:br/>
        <w:t xml:space="preserve"> Confidence: High — opposition type directly evidenced; absence of legal/PR opposition consistent across all sources.</w:t>
      </w:r>
      <w:r w:rsidRPr="003D505B">
        <w:rPr>
          <w:sz w:val="20"/>
          <w:szCs w:val="20"/>
        </w:rPr>
        <w:br/>
        <w:t xml:space="preserve"> Source Tag: Sources 7, 9.</w:t>
      </w:r>
    </w:p>
    <w:p w14:paraId="384ABC71" w14:textId="77777777" w:rsidR="003D505B" w:rsidRPr="003D505B" w:rsidRDefault="003D505B" w:rsidP="00043AF9">
      <w:pPr>
        <w:numPr>
          <w:ilvl w:val="0"/>
          <w:numId w:val="47"/>
        </w:numPr>
        <w:rPr>
          <w:sz w:val="20"/>
          <w:szCs w:val="20"/>
        </w:rPr>
      </w:pPr>
      <w:r w:rsidRPr="003D505B">
        <w:rPr>
          <w:sz w:val="20"/>
          <w:szCs w:val="20"/>
        </w:rPr>
        <w:t>Visibility of harm to the public</w:t>
      </w:r>
      <w:r w:rsidRPr="003D505B">
        <w:rPr>
          <w:sz w:val="20"/>
          <w:szCs w:val="20"/>
        </w:rPr>
        <w:br/>
        <w:t xml:space="preserve"> Evidence: Source 1 (SAFE timeline) and Source 4 (Eurogroup for Animals) document the April 2019 ABC exposé as the campaign trigger — directly evidencing its public impact. Source 2 (SPCA timeline) documents the November 2019 Romanian sheep drowning (14,000 sheep) as additional in-window visibility. Source 5 (SPCA advocacy news) and Source 2 both document the September 2020 Gulf Livestock 1 sinking — 5,867 NZ cattle and 41 crew, including two New Zealanders — as the decisive visibility event.</w:t>
      </w:r>
      <w:r w:rsidRPr="003D505B">
        <w:rPr>
          <w:sz w:val="20"/>
          <w:szCs w:val="20"/>
        </w:rPr>
        <w:br/>
        <w:t xml:space="preserve"> Confidence: High — both major visibility events directly and specifically evidenced across multiple independent sources with precise dates and figures.</w:t>
      </w:r>
      <w:r w:rsidRPr="003D505B">
        <w:rPr>
          <w:sz w:val="20"/>
          <w:szCs w:val="20"/>
        </w:rPr>
        <w:br/>
        <w:t xml:space="preserve"> Source Tag: Sources 1, 2, 4, 5.</w:t>
      </w:r>
    </w:p>
    <w:p w14:paraId="262C0FCC" w14:textId="77777777" w:rsidR="003D505B" w:rsidRPr="003D505B" w:rsidRDefault="003D505B" w:rsidP="00043AF9">
      <w:pPr>
        <w:numPr>
          <w:ilvl w:val="0"/>
          <w:numId w:val="47"/>
        </w:numPr>
        <w:rPr>
          <w:sz w:val="20"/>
          <w:szCs w:val="20"/>
        </w:rPr>
      </w:pPr>
      <w:r w:rsidRPr="003D505B">
        <w:rPr>
          <w:sz w:val="20"/>
          <w:szCs w:val="20"/>
        </w:rPr>
        <w:t>Degree of behaviour change required</w:t>
      </w:r>
      <w:r w:rsidRPr="003D505B">
        <w:rPr>
          <w:sz w:val="20"/>
          <w:szCs w:val="20"/>
        </w:rPr>
        <w:br/>
        <w:t xml:space="preserve"> Evidence: Source 9 (MPI RIS) directly assesses economic impact on farmers and exporters — confirms the change is concentrated in a specific sector (livestock exporters, approximately 2,900 farms) rather than requiring mass public behaviour change. Source 10 (Animal Welfare Amendment Bill) confirms the mechanism: prohibition on issuance of export certificates from 30 April 2023, with a 24-month transition period explicitly designed to allow affected farmers to adjust business models.</w:t>
      </w:r>
      <w:r w:rsidRPr="003D505B">
        <w:rPr>
          <w:sz w:val="20"/>
          <w:szCs w:val="20"/>
        </w:rPr>
        <w:br/>
        <w:t xml:space="preserve"> Confidence: High — legislative mechanism and industry adjustment requirements directly evidenced.</w:t>
      </w:r>
      <w:r w:rsidRPr="003D505B">
        <w:rPr>
          <w:sz w:val="20"/>
          <w:szCs w:val="20"/>
        </w:rPr>
        <w:br/>
        <w:t xml:space="preserve"> Source Tag: Sources 9, 10.</w:t>
      </w:r>
    </w:p>
    <w:p w14:paraId="0366C94C" w14:textId="77777777" w:rsidR="003D505B" w:rsidRPr="003D505B" w:rsidRDefault="003D505B" w:rsidP="00043AF9">
      <w:pPr>
        <w:numPr>
          <w:ilvl w:val="0"/>
          <w:numId w:val="47"/>
        </w:numPr>
        <w:rPr>
          <w:sz w:val="20"/>
          <w:szCs w:val="20"/>
        </w:rPr>
      </w:pPr>
      <w:r w:rsidRPr="003D505B">
        <w:rPr>
          <w:sz w:val="20"/>
          <w:szCs w:val="20"/>
        </w:rPr>
        <w:t>Role of policy vs market pressure vs cultural shift</w:t>
      </w:r>
      <w:r w:rsidRPr="003D505B">
        <w:rPr>
          <w:sz w:val="20"/>
          <w:szCs w:val="20"/>
        </w:rPr>
        <w:br/>
        <w:t xml:space="preserve"> Evidence: Source 9 (MPI RIS) confirms the Cabinet decision as the operative mechanism, with MPI's preferred approach being primary legislation rather than regulation. Source 10 (Animal Welfare Amendment Bill, Explanatory Note) confirms the policy rationale — "provides clarity to stakeholders and the New Zealand public about the intent of Cabinet's decision." Source 8 (Beehive announcement) confirms the statutory mechanism. Source 1 (SAFE) and Source 5 (SPCA) confirm the ABC exposé and Gulf Livestock 1 as catalysts that accelerated the cultural and political conditions, but the mechanism remained statutory throughout.</w:t>
      </w:r>
      <w:r w:rsidRPr="003D505B">
        <w:rPr>
          <w:sz w:val="20"/>
          <w:szCs w:val="20"/>
        </w:rPr>
        <w:br/>
        <w:t xml:space="preserve"> Confidence: High — policy as primary mechanism unambiguously documented.</w:t>
      </w:r>
      <w:r w:rsidRPr="003D505B">
        <w:rPr>
          <w:sz w:val="20"/>
          <w:szCs w:val="20"/>
        </w:rPr>
        <w:br/>
        <w:t xml:space="preserve"> Source Tag: Sources 8, 9, 10.</w:t>
      </w:r>
    </w:p>
    <w:p w14:paraId="19452754" w14:textId="77777777" w:rsidR="003D505B" w:rsidRPr="003D505B" w:rsidRDefault="003D505B" w:rsidP="00043AF9">
      <w:pPr>
        <w:numPr>
          <w:ilvl w:val="0"/>
          <w:numId w:val="47"/>
        </w:numPr>
        <w:rPr>
          <w:sz w:val="20"/>
          <w:szCs w:val="20"/>
        </w:rPr>
      </w:pPr>
      <w:r w:rsidRPr="003D505B">
        <w:rPr>
          <w:sz w:val="20"/>
          <w:szCs w:val="20"/>
        </w:rPr>
        <w:t>Coalition size, type, and presence of non-obvious allies</w:t>
      </w:r>
      <w:r w:rsidRPr="003D505B">
        <w:rPr>
          <w:sz w:val="20"/>
          <w:szCs w:val="20"/>
        </w:rPr>
        <w:br/>
        <w:t xml:space="preserve"> Evidence: Source 2 (SPCA timeline) documents SPCA's direct ministerial outreach (March 2021) and multiple MPI submissions. Source 4 (Eurogroup for Animals) confirms SAFE as petition lead. Source 2 also documents the Cornwall Park intervention involving Auckland Council as a non-obvious local government ally. Source 1 (SAFE timeline) confirms HUHA, World Animal Protection, Veterinarians for Animal Welfare Aotearoa as coalition partners in the post-ban defence but documents their role as part of the broader campaign ecosystem. The </w:t>
      </w:r>
      <w:r w:rsidRPr="003D505B">
        <w:rPr>
          <w:sz w:val="20"/>
          <w:szCs w:val="20"/>
        </w:rPr>
        <w:lastRenderedPageBreak/>
        <w:t>Frontiers 2026 paper (Source 3) confirms SAFE was assessed as the primary campaign actor by industry itself.</w:t>
      </w:r>
      <w:r w:rsidRPr="003D505B">
        <w:rPr>
          <w:sz w:val="20"/>
          <w:szCs w:val="20"/>
        </w:rPr>
        <w:br/>
        <w:t xml:space="preserve"> Confidence: Medium — SAFE and SPCA as core actors directly evidenced; broader coalition composition confirmed but not enumerated in detail across locked sources; Auckland Council as non-obvious ally directly evidenced via Source 2.</w:t>
      </w:r>
      <w:r w:rsidRPr="003D505B">
        <w:rPr>
          <w:sz w:val="20"/>
          <w:szCs w:val="20"/>
        </w:rPr>
        <w:br/>
        <w:t xml:space="preserve"> Source Tag: Sources 1, 2, 3, 4.</w:t>
      </w:r>
    </w:p>
    <w:p w14:paraId="0D027645" w14:textId="77777777" w:rsidR="003D505B" w:rsidRPr="003D505B" w:rsidRDefault="003D505B" w:rsidP="00043AF9">
      <w:pPr>
        <w:numPr>
          <w:ilvl w:val="0"/>
          <w:numId w:val="47"/>
        </w:numPr>
        <w:rPr>
          <w:sz w:val="20"/>
          <w:szCs w:val="20"/>
        </w:rPr>
      </w:pPr>
      <w:r w:rsidRPr="003D505B">
        <w:rPr>
          <w:sz w:val="20"/>
          <w:szCs w:val="20"/>
        </w:rPr>
        <w:t>Economic disruption required</w:t>
      </w:r>
      <w:r w:rsidRPr="003D505B">
        <w:rPr>
          <w:sz w:val="20"/>
          <w:szCs w:val="20"/>
        </w:rPr>
        <w:br/>
        <w:t xml:space="preserve"> Evidence: Source 9 (MPI RIS) is the primary document — quantifies the trade at approximately $261M–$374M annually, affecting up to 2,900 farms, while confirming this represents a small proportion of total primary sector exports. Source 7 (Hansard, ACT's Cameron) cites $261M as the annual rural community value. Source 8 (Beehive) notes the trade was 0.6% of primary sector export revenue, explicitly framing economic disruption as limited at the macro level while acknowledging farm-level impact.</w:t>
      </w:r>
      <w:r w:rsidRPr="003D505B">
        <w:rPr>
          <w:sz w:val="20"/>
          <w:szCs w:val="20"/>
        </w:rPr>
        <w:br/>
        <w:t xml:space="preserve"> Confidence: High — economic figures directly evidenced from government RIS and parliamentary record; macro-level disruption characterised as low confirmed by the Beehive framing.</w:t>
      </w:r>
      <w:r w:rsidRPr="003D505B">
        <w:rPr>
          <w:sz w:val="20"/>
          <w:szCs w:val="20"/>
        </w:rPr>
        <w:br/>
        <w:t xml:space="preserve"> Source Tag: Sources 7, 8, 9.</w:t>
      </w:r>
    </w:p>
    <w:p w14:paraId="327FE3BF" w14:textId="77777777" w:rsidR="003D505B" w:rsidRPr="003D505B" w:rsidRDefault="003D505B" w:rsidP="00043AF9">
      <w:pPr>
        <w:numPr>
          <w:ilvl w:val="0"/>
          <w:numId w:val="47"/>
        </w:numPr>
        <w:rPr>
          <w:sz w:val="20"/>
          <w:szCs w:val="20"/>
        </w:rPr>
      </w:pPr>
      <w:r w:rsidRPr="003D505B">
        <w:rPr>
          <w:sz w:val="20"/>
          <w:szCs w:val="20"/>
        </w:rPr>
        <w:t>Speed of change achieved</w:t>
      </w:r>
      <w:r w:rsidRPr="003D505B">
        <w:rPr>
          <w:sz w:val="20"/>
          <w:szCs w:val="20"/>
        </w:rPr>
        <w:br/>
        <w:t xml:space="preserve"> Evidence: Source 1 (SAFE) and Source 4 (Eurogroup) confirm April 2019 as campaign start. Source 5 (SPCA) and Source 2 confirm September 2020 Gulf Livestock 1 as accelerant. Source 9 (MPI RIS, March 2021) confirms Cabinet decision on 14 April 2021. Source 7 (Hansard) confirms Bill passed 28 September 2022. Source 10 (Bill commencement clause) confirms 30 April 2023 as operative date — approximately four years from trigger to implementation.</w:t>
      </w:r>
      <w:r w:rsidRPr="003D505B">
        <w:rPr>
          <w:sz w:val="20"/>
          <w:szCs w:val="20"/>
        </w:rPr>
        <w:br/>
        <w:t xml:space="preserve"> Confidence: High — all key dates precisely evidenced across multiple independent primary sources.</w:t>
      </w:r>
      <w:r w:rsidRPr="003D505B">
        <w:rPr>
          <w:sz w:val="20"/>
          <w:szCs w:val="20"/>
        </w:rPr>
        <w:br/>
        <w:t xml:space="preserve"> Source Tag: Sources 1, 2, 4, 5, 7, 9, 10.</w:t>
      </w:r>
    </w:p>
    <w:p w14:paraId="6F50F671" w14:textId="77777777" w:rsidR="003D505B" w:rsidRPr="003D505B" w:rsidRDefault="003D505B" w:rsidP="00043AF9">
      <w:pPr>
        <w:numPr>
          <w:ilvl w:val="0"/>
          <w:numId w:val="47"/>
        </w:numPr>
        <w:rPr>
          <w:sz w:val="20"/>
          <w:szCs w:val="20"/>
        </w:rPr>
      </w:pPr>
      <w:r w:rsidRPr="003D505B">
        <w:rPr>
          <w:sz w:val="20"/>
          <w:szCs w:val="20"/>
        </w:rPr>
        <w:t>Scale of change achieved</w:t>
      </w:r>
      <w:r w:rsidRPr="003D505B">
        <w:rPr>
          <w:sz w:val="20"/>
          <w:szCs w:val="20"/>
        </w:rPr>
        <w:br/>
        <w:t xml:space="preserve"> Evidence: Source 8 (Beehive) confirms the ban covers cattle, deer, sheep, and goats by sea — the complete remaining trade. Source 10 (Animal Welfare Amendment Bill, Explanatory Note) confirms there are no species carve-outs within scope. Source 11 (RSPCA Australia) documents immediate international recognition and world-first status — "NZ live export ban shows the trade's time has come." Source 13 (SAFE protect ban page) and Source 14 (Farmers Weekly backtracks) confirm the 2026 government decision not to reinstate, securing the ban's permanence.</w:t>
      </w:r>
      <w:r w:rsidRPr="003D505B">
        <w:rPr>
          <w:sz w:val="20"/>
          <w:szCs w:val="20"/>
        </w:rPr>
        <w:br/>
        <w:t xml:space="preserve"> Confidence: High — legislative scope and world-first status directly and multiply evidenced.</w:t>
      </w:r>
      <w:r w:rsidRPr="003D505B">
        <w:rPr>
          <w:sz w:val="20"/>
          <w:szCs w:val="20"/>
        </w:rPr>
        <w:br/>
        <w:t xml:space="preserve"> Source Tag: Sources 8, 10, 11, 13, 14.</w:t>
      </w:r>
    </w:p>
    <w:p w14:paraId="100B4803" w14:textId="77777777" w:rsidR="003D505B" w:rsidRPr="003D505B" w:rsidRDefault="003D505B" w:rsidP="00043AF9">
      <w:pPr>
        <w:numPr>
          <w:ilvl w:val="0"/>
          <w:numId w:val="47"/>
        </w:numPr>
        <w:rPr>
          <w:sz w:val="20"/>
          <w:szCs w:val="20"/>
        </w:rPr>
      </w:pPr>
      <w:r w:rsidRPr="003D505B">
        <w:rPr>
          <w:sz w:val="20"/>
          <w:szCs w:val="20"/>
        </w:rPr>
        <w:t>Public sentiment starting point</w:t>
      </w:r>
      <w:r w:rsidRPr="003D505B">
        <w:rPr>
          <w:sz w:val="20"/>
          <w:szCs w:val="20"/>
        </w:rPr>
        <w:br/>
        <w:t xml:space="preserve"> Evidence: No representative pre-April 2019 polling specifically measuring NZ general public attitudes toward live exports exists. The Frontiers 2026 peer-reviewed paper (Source 3) explicitly confirms no prior NZ-specific public survey on live exports predated their 2023 study. MPI review submissions (3,500+ in 2019; 81% of 2020 submissions pro-ban per Source 1) are self-selected respondent pools that do not qualify as representative general public sentiment data per the variable definition. The 1News October 2023 poll (Source 12: 51% support continuing ban) is at-window-close, not pre-campaign baseline, and thus cannot serve as a starting point measure. Case runs on 13 variables.</w:t>
      </w:r>
      <w:r w:rsidRPr="003D505B">
        <w:rPr>
          <w:sz w:val="20"/>
          <w:szCs w:val="20"/>
        </w:rPr>
        <w:br/>
        <w:t xml:space="preserve"> Confidence: Insufficient — structural gap confirmed by peer-reviewed literature; not a search failure.</w:t>
      </w:r>
      <w:r w:rsidRPr="003D505B">
        <w:rPr>
          <w:sz w:val="20"/>
          <w:szCs w:val="20"/>
        </w:rPr>
        <w:br/>
        <w:t xml:space="preserve"> Source Tag: None (Sources 1, 3, 12 consulted and excluded per methodology).</w:t>
      </w:r>
    </w:p>
    <w:p w14:paraId="1BD6516A" w14:textId="77777777" w:rsidR="003D505B" w:rsidRPr="003D505B" w:rsidRDefault="003D505B" w:rsidP="00043AF9">
      <w:pPr>
        <w:numPr>
          <w:ilvl w:val="0"/>
          <w:numId w:val="47"/>
        </w:numPr>
        <w:rPr>
          <w:sz w:val="20"/>
          <w:szCs w:val="20"/>
        </w:rPr>
      </w:pPr>
      <w:r w:rsidRPr="003D505B">
        <w:rPr>
          <w:sz w:val="20"/>
          <w:szCs w:val="20"/>
        </w:rPr>
        <w:t>Legal/regulatory landscape</w:t>
      </w:r>
      <w:r w:rsidRPr="003D505B">
        <w:rPr>
          <w:sz w:val="20"/>
          <w:szCs w:val="20"/>
        </w:rPr>
        <w:br/>
        <w:t xml:space="preserve"> Evidence: Source 2 (SPCA timeline) and World Animal Protection country page confirm the 2007 ban on slaughter exports and the 2016 regulations as the pre-existing partial framework — establishing that the loophole targeted (breeding/fattening exports) was legally permissible before the campaign. Source 9 (MPI RIS) confirms no international trade law obstacle was identified as blocking the ban. Source 10 (Animal Welfare Amendment Bill) confirms the clean legislative mechanism — certificate prohibition — without constitutional challenge. Source 6 (RNZ) confirms no legal challenge was mounted against the Bill at select committee stage.</w:t>
      </w:r>
      <w:r w:rsidRPr="003D505B">
        <w:rPr>
          <w:sz w:val="20"/>
          <w:szCs w:val="20"/>
        </w:rPr>
        <w:br/>
        <w:t xml:space="preserve"> Confidence: High — pre-existing framework, legislative gap, and absence of legal obstacles directly evidenced.</w:t>
      </w:r>
      <w:r w:rsidRPr="003D505B">
        <w:rPr>
          <w:sz w:val="20"/>
          <w:szCs w:val="20"/>
        </w:rPr>
        <w:br/>
        <w:t xml:space="preserve"> Source Tag: Sources 2, 6, 9, 10.</w:t>
      </w:r>
    </w:p>
    <w:p w14:paraId="07FE1D70" w14:textId="77777777" w:rsidR="003D505B" w:rsidRPr="003D505B" w:rsidRDefault="003D505B" w:rsidP="00043AF9">
      <w:pPr>
        <w:numPr>
          <w:ilvl w:val="0"/>
          <w:numId w:val="47"/>
        </w:numPr>
        <w:rPr>
          <w:sz w:val="20"/>
          <w:szCs w:val="20"/>
        </w:rPr>
      </w:pPr>
      <w:r w:rsidRPr="003D505B">
        <w:rPr>
          <w:sz w:val="20"/>
          <w:szCs w:val="20"/>
        </w:rPr>
        <w:lastRenderedPageBreak/>
        <w:t>Narrative dominance</w:t>
      </w:r>
      <w:r w:rsidRPr="003D505B">
        <w:rPr>
          <w:sz w:val="20"/>
          <w:szCs w:val="20"/>
        </w:rPr>
        <w:br/>
        <w:t xml:space="preserve"> Evidence: Source 7 (Hansard, Minister O'Connor's third reading speech) frames the ban explicitly as upholding NZ's reputation for "high standards in animal welfare" — confirming government adoption of the campaign's framing. Source 8 (Beehive) uses the same welfare-reputation framing. Source 6 (RNZ) confirms National and ACT opposition was confined to economic arguments in committee — no welfare counter-narrative achieved traction. Source 11 (RSPCA Australia) confirms international framing of NZ as a welfare leader. Category B (NZ Herald LENZ retrospective) confirms industry assessed its own narrative as "ineffective" pre-campaign — corroborating campaign-side narrative dominance.</w:t>
      </w:r>
      <w:r w:rsidRPr="003D505B">
        <w:rPr>
          <w:sz w:val="20"/>
          <w:szCs w:val="20"/>
        </w:rPr>
        <w:br/>
        <w:t xml:space="preserve"> Confidence: High — government adoption of campaign framing directly evidenced in ministerial speech; opposition confined to economic register with no welfare counter-narrative evidenced.</w:t>
      </w:r>
      <w:r w:rsidRPr="003D505B">
        <w:rPr>
          <w:sz w:val="20"/>
          <w:szCs w:val="20"/>
        </w:rPr>
        <w:br/>
        <w:t xml:space="preserve"> Source Tag: Sources 6, 7, 8, 11; Category B (NZ Herald).</w:t>
      </w:r>
    </w:p>
    <w:p w14:paraId="3ABC0191" w14:textId="77777777" w:rsidR="003D505B" w:rsidRPr="003D505B" w:rsidRDefault="003D505B" w:rsidP="00043AF9">
      <w:pPr>
        <w:numPr>
          <w:ilvl w:val="0"/>
          <w:numId w:val="47"/>
        </w:numPr>
        <w:rPr>
          <w:sz w:val="20"/>
          <w:szCs w:val="20"/>
        </w:rPr>
      </w:pPr>
      <w:r w:rsidRPr="003D505B">
        <w:rPr>
          <w:sz w:val="20"/>
          <w:szCs w:val="20"/>
        </w:rPr>
        <w:t>Notable Tactics</w:t>
      </w:r>
    </w:p>
    <w:p w14:paraId="5994F423" w14:textId="77777777" w:rsidR="003D505B" w:rsidRPr="003D505B" w:rsidRDefault="003D505B" w:rsidP="003D505B">
      <w:pPr>
        <w:rPr>
          <w:sz w:val="20"/>
          <w:szCs w:val="20"/>
        </w:rPr>
      </w:pPr>
      <w:r w:rsidRPr="003D505B">
        <w:rPr>
          <w:sz w:val="20"/>
          <w:szCs w:val="20"/>
        </w:rPr>
        <w:t>a. Media exposé exploitation as campaign trigger</w:t>
      </w:r>
      <w:r w:rsidRPr="003D505B">
        <w:rPr>
          <w:sz w:val="20"/>
          <w:szCs w:val="20"/>
        </w:rPr>
        <w:br/>
        <w:t xml:space="preserve"> Evidence: Source 4 (Eurogroup for Animals) confirms SAFE launched the petition campaign "following an ABC News exposé in April that showed New Zealand and Australian cows suffering in Sri Lanka." Source 1 (SAFE timeline) confirms the MPI received over 3,500 submissions in response to the resulting review, many from SAFE supporters — directly evidencing rapid mobilisation off the exposé. Source 2 (SPCA) confirms SPCA submitted to the 2019 MPI review in January 2020, confirming sustained organisational engagement triggered by the exposé.</w:t>
      </w:r>
      <w:r w:rsidRPr="003D505B">
        <w:rPr>
          <w:sz w:val="20"/>
          <w:szCs w:val="20"/>
        </w:rPr>
        <w:br/>
        <w:t xml:space="preserve"> Confidence: High — causal link between exposé and campaign mobilisation directly and multiply evidenced.</w:t>
      </w:r>
      <w:r w:rsidRPr="003D505B">
        <w:rPr>
          <w:sz w:val="20"/>
          <w:szCs w:val="20"/>
        </w:rPr>
        <w:br/>
        <w:t xml:space="preserve"> Source Tag: Sources 1, 2, 4.</w:t>
      </w:r>
    </w:p>
    <w:p w14:paraId="4266C219" w14:textId="77777777" w:rsidR="003D505B" w:rsidRPr="003D505B" w:rsidRDefault="003D505B" w:rsidP="003D505B">
      <w:pPr>
        <w:rPr>
          <w:sz w:val="20"/>
          <w:szCs w:val="20"/>
        </w:rPr>
      </w:pPr>
      <w:r w:rsidRPr="003D505B">
        <w:rPr>
          <w:sz w:val="20"/>
          <w:szCs w:val="20"/>
        </w:rPr>
        <w:t>b. Disaster event amplification</w:t>
      </w:r>
      <w:r w:rsidRPr="003D505B">
        <w:rPr>
          <w:sz w:val="20"/>
          <w:szCs w:val="20"/>
        </w:rPr>
        <w:br/>
        <w:t xml:space="preserve"> Evidence: Source 5 (SPCA advocacy news) explicitly states "SPCA calls on the New Zealand Government to permanently ban the unnecessary and problematic practice of live exports immediately" following the Gulf Livestock 1 sinking — directly documenting the tactic of converting the disaster into a total-ban demand. Source 2 (SPCA timeline) confirms SPCA submitted to the Heron review (September 2020) specifically to push for a permanent ban. Source 1 (SAFE) confirms the Gulf Livestock 1 is positioned as a campaign accelerant in its narrative timeline.</w:t>
      </w:r>
      <w:r w:rsidRPr="003D505B">
        <w:rPr>
          <w:sz w:val="20"/>
          <w:szCs w:val="20"/>
        </w:rPr>
        <w:br/>
        <w:t xml:space="preserve"> Confidence: High — tactic directly evidenced across two independent campaign actor sources with precise dates.</w:t>
      </w:r>
      <w:r w:rsidRPr="003D505B">
        <w:rPr>
          <w:sz w:val="20"/>
          <w:szCs w:val="20"/>
        </w:rPr>
        <w:br/>
        <w:t xml:space="preserve"> Source Tag: Sources 1, 2, 5.</w:t>
      </w:r>
    </w:p>
    <w:p w14:paraId="7B311BAF" w14:textId="77777777" w:rsidR="003D505B" w:rsidRPr="003D505B" w:rsidRDefault="003D505B" w:rsidP="003D505B">
      <w:pPr>
        <w:rPr>
          <w:sz w:val="20"/>
          <w:szCs w:val="20"/>
        </w:rPr>
      </w:pPr>
      <w:r w:rsidRPr="003D505B">
        <w:rPr>
          <w:sz w:val="20"/>
          <w:szCs w:val="20"/>
        </w:rPr>
        <w:t>c. Insider defector deployment</w:t>
      </w:r>
      <w:r w:rsidRPr="003D505B">
        <w:rPr>
          <w:sz w:val="20"/>
          <w:szCs w:val="20"/>
        </w:rPr>
        <w:br/>
        <w:t xml:space="preserve"> Evidence: Source 2 (SPCA timeline) documents veterinary and scientific expert voices deployed throughout the campaign. Source 13 (SAFE protect ban page) confirms Dr John Hellstrom — former Chief Veterinary Officer and National Animal Welfare Advisory Committee chair — launched the 2024 parliamentary petition opposing reinstatement, explicitly described as having "four decades working alongside the livestock export industry." Within the campaign window, the SPCA's scientific officer Dr Arnja Dale is consistently named in RNZ coverage as the primary scientific voice against the trade.</w:t>
      </w:r>
      <w:r w:rsidRPr="003D505B">
        <w:rPr>
          <w:sz w:val="20"/>
          <w:szCs w:val="20"/>
        </w:rPr>
        <w:br/>
        <w:t xml:space="preserve"> Confidence: Medium — Dr Hellstrom's role is directly evidenced but primarily in the post-window period; within-window veterinary voice deployment confirmed but not documented with the same specificity as the post-window material.</w:t>
      </w:r>
      <w:r w:rsidRPr="003D505B">
        <w:rPr>
          <w:sz w:val="20"/>
          <w:szCs w:val="20"/>
        </w:rPr>
        <w:br/>
        <w:t xml:space="preserve"> Source Tag: Sources 2, 13.</w:t>
      </w:r>
    </w:p>
    <w:p w14:paraId="26000A47" w14:textId="77777777" w:rsidR="003D505B" w:rsidRPr="003D505B" w:rsidRDefault="003D505B" w:rsidP="003D505B">
      <w:pPr>
        <w:rPr>
          <w:sz w:val="20"/>
          <w:szCs w:val="20"/>
        </w:rPr>
      </w:pPr>
      <w:r w:rsidRPr="003D505B">
        <w:rPr>
          <w:sz w:val="20"/>
          <w:szCs w:val="20"/>
        </w:rPr>
        <w:t>d. Mass submission campaign to government review</w:t>
      </w:r>
      <w:r w:rsidRPr="003D505B">
        <w:rPr>
          <w:sz w:val="20"/>
          <w:szCs w:val="20"/>
        </w:rPr>
        <w:br/>
        <w:t xml:space="preserve"> Evidence: Source 1 (SAFE) explicitly states "MPI received over 3,500 submissions, many of which were from SAFE supporters" during the 2019 review — directly evidencing organised supporter mobilisation into the formal submission process. Source 4 (Eurogroup for Animals) confirms the petition was presented to Parliament. Source 6 (RNZ) documents the select committee receiving 600+ submissions — confirming the tactic extended through to the legislative stage.</w:t>
      </w:r>
      <w:r w:rsidRPr="003D505B">
        <w:rPr>
          <w:sz w:val="20"/>
          <w:szCs w:val="20"/>
        </w:rPr>
        <w:br/>
        <w:t xml:space="preserve"> Confidence: High — submission volumes and campaign mobilisation directly and specifically evidenced.</w:t>
      </w:r>
      <w:r w:rsidRPr="003D505B">
        <w:rPr>
          <w:sz w:val="20"/>
          <w:szCs w:val="20"/>
        </w:rPr>
        <w:br/>
        <w:t xml:space="preserve"> Source Tag: Sources 1, 4, 6.</w:t>
      </w:r>
    </w:p>
    <w:p w14:paraId="6A970973" w14:textId="77777777" w:rsidR="003D505B" w:rsidRPr="003D505B" w:rsidRDefault="003D505B" w:rsidP="003D505B">
      <w:pPr>
        <w:rPr>
          <w:sz w:val="20"/>
          <w:szCs w:val="20"/>
        </w:rPr>
      </w:pPr>
      <w:r w:rsidRPr="003D505B">
        <w:rPr>
          <w:sz w:val="20"/>
          <w:szCs w:val="20"/>
        </w:rPr>
        <w:t>e. Local government intervention</w:t>
      </w:r>
      <w:r w:rsidRPr="003D505B">
        <w:rPr>
          <w:sz w:val="20"/>
          <w:szCs w:val="20"/>
        </w:rPr>
        <w:br/>
        <w:t xml:space="preserve"> Evidence: Source 2 (SPCA timeline) explicitly states "Auckland Council, Cornwall Park Trust and all associated Councillors, CEO's, Mayors and relevant Ministers were also directly contacted earlier this month in relation to plans to export cattle from Cornwall Park. Thanks to the outcry, these cattle were not exported." This directly evidences the tactic of mobilising local government as a pressure point to block a specific export at a critical pre-announcement moment (early 2021).</w:t>
      </w:r>
      <w:r w:rsidRPr="003D505B">
        <w:rPr>
          <w:sz w:val="20"/>
          <w:szCs w:val="20"/>
        </w:rPr>
        <w:br/>
      </w:r>
      <w:r w:rsidRPr="003D505B">
        <w:rPr>
          <w:sz w:val="20"/>
          <w:szCs w:val="20"/>
        </w:rPr>
        <w:lastRenderedPageBreak/>
        <w:t xml:space="preserve"> Confidence: High — directly evidenced in SPCA's own timeline with specific outcome (cattle not exported).</w:t>
      </w:r>
      <w:r w:rsidRPr="003D505B">
        <w:rPr>
          <w:sz w:val="20"/>
          <w:szCs w:val="20"/>
        </w:rPr>
        <w:br/>
        <w:t xml:space="preserve"> Source Tag: Source 2.</w:t>
      </w:r>
    </w:p>
    <w:p w14:paraId="3F5281CE" w14:textId="77777777" w:rsidR="003D505B" w:rsidRPr="003D505B" w:rsidRDefault="00641196" w:rsidP="003D505B">
      <w:pPr>
        <w:rPr>
          <w:sz w:val="20"/>
          <w:szCs w:val="20"/>
        </w:rPr>
      </w:pPr>
      <w:r>
        <w:rPr>
          <w:sz w:val="20"/>
          <w:szCs w:val="20"/>
        </w:rPr>
        <w:pict w14:anchorId="2D28EDC7">
          <v:rect id="_x0000_i1036" style="width:0;height:1.5pt" o:hralign="center" o:hrstd="t" o:hr="t" fillcolor="#a0a0a0" stroked="f"/>
        </w:pict>
      </w:r>
    </w:p>
    <w:p w14:paraId="5B4A8D6E" w14:textId="77777777" w:rsidR="003D505B" w:rsidRPr="003D505B" w:rsidRDefault="003D505B" w:rsidP="003D505B">
      <w:pPr>
        <w:rPr>
          <w:sz w:val="20"/>
          <w:szCs w:val="20"/>
        </w:rPr>
      </w:pPr>
      <w:r w:rsidRPr="003D505B">
        <w:rPr>
          <w:b/>
          <w:bCs/>
          <w:sz w:val="20"/>
          <w:szCs w:val="20"/>
        </w:rPr>
        <w:t>SOURCE-TO-VARIABLE MAPPING</w:t>
      </w:r>
    </w:p>
    <w:p w14:paraId="5620ADBF" w14:textId="77777777" w:rsidR="003D505B" w:rsidRPr="003D505B" w:rsidRDefault="003D505B" w:rsidP="003D505B">
      <w:pPr>
        <w:rPr>
          <w:sz w:val="20"/>
          <w:szCs w:val="20"/>
        </w:rPr>
      </w:pPr>
      <w:r w:rsidRPr="003D505B">
        <w:rPr>
          <w:sz w:val="20"/>
          <w:szCs w:val="20"/>
        </w:rPr>
        <w:t>Source 1 (SAFE Live Export Trade page) — 1, 5, 7, 10, 11, 12 (excluded), 15a, 15b, 15d</w:t>
      </w:r>
      <w:r w:rsidRPr="003D505B">
        <w:rPr>
          <w:sz w:val="20"/>
          <w:szCs w:val="20"/>
        </w:rPr>
        <w:br/>
        <w:t xml:space="preserve"> Source 2 (SPCA Live Export advocacy timeline) — 5, 6, 8, 10, 12 (excluded), 13, 14, 15a, 15b, 15c, 15d, 15e</w:t>
      </w:r>
      <w:r w:rsidRPr="003D505B">
        <w:rPr>
          <w:sz w:val="20"/>
          <w:szCs w:val="20"/>
        </w:rPr>
        <w:br/>
        <w:t xml:space="preserve"> Source 3 (Zobel et al., Frontiers 2026) — 3, 8, 12 (excluded), 14</w:t>
      </w:r>
      <w:r w:rsidRPr="003D505B">
        <w:rPr>
          <w:sz w:val="20"/>
          <w:szCs w:val="20"/>
        </w:rPr>
        <w:br/>
        <w:t xml:space="preserve"> Source 4 (Eurogroup for Animals 2019) — 5, 8, 10, 15a, 15d</w:t>
      </w:r>
      <w:r w:rsidRPr="003D505B">
        <w:rPr>
          <w:sz w:val="20"/>
          <w:szCs w:val="20"/>
        </w:rPr>
        <w:br/>
        <w:t xml:space="preserve"> Source 5 (SPCA Advocacy News September 2020) — 5, 8, 10, 15b</w:t>
      </w:r>
      <w:r w:rsidRPr="003D505B">
        <w:rPr>
          <w:sz w:val="20"/>
          <w:szCs w:val="20"/>
        </w:rPr>
        <w:br/>
        <w:t xml:space="preserve"> Source 6 (RNZ select committee April 2022) — 2, 3, 4, 13, 14, 15d</w:t>
      </w:r>
      <w:r w:rsidRPr="003D505B">
        <w:rPr>
          <w:sz w:val="20"/>
          <w:szCs w:val="20"/>
        </w:rPr>
        <w:br/>
        <w:t xml:space="preserve"> Source 7 (Hansard third reading September 2022) — 2, 3, 4, 7, 9, 14</w:t>
      </w:r>
      <w:r w:rsidRPr="003D505B">
        <w:rPr>
          <w:sz w:val="20"/>
          <w:szCs w:val="20"/>
        </w:rPr>
        <w:br/>
        <w:t xml:space="preserve"> Source 8 (Beehive announcement September 2022) — 1, 6, 7, 9, 11, 14</w:t>
      </w:r>
      <w:r w:rsidRPr="003D505B">
        <w:rPr>
          <w:sz w:val="20"/>
          <w:szCs w:val="20"/>
        </w:rPr>
        <w:br/>
        <w:t xml:space="preserve"> Source 9 (MPI Regulatory Impact Statement March 2021) — 1, 2, 3, 4, 6, 7, 9, 13</w:t>
      </w:r>
      <w:r w:rsidRPr="003D505B">
        <w:rPr>
          <w:sz w:val="20"/>
          <w:szCs w:val="20"/>
        </w:rPr>
        <w:br/>
        <w:t xml:space="preserve"> Source 10 (Animal Welfare Amendment Bill 2021) — 1, 2, 6, 7, 10, 11, 13</w:t>
      </w:r>
      <w:r w:rsidRPr="003D505B">
        <w:rPr>
          <w:sz w:val="20"/>
          <w:szCs w:val="20"/>
        </w:rPr>
        <w:br/>
        <w:t xml:space="preserve"> Source 11 (RSPCA Australia 2021) — 11, 14</w:t>
      </w:r>
      <w:r w:rsidRPr="003D505B">
        <w:rPr>
          <w:sz w:val="20"/>
          <w:szCs w:val="20"/>
        </w:rPr>
        <w:br/>
        <w:t xml:space="preserve"> Source 12 (1News poll October 2023) — 12 (excluded — at-window-close)</w:t>
      </w:r>
      <w:r w:rsidRPr="003D505B">
        <w:rPr>
          <w:sz w:val="20"/>
          <w:szCs w:val="20"/>
        </w:rPr>
        <w:br/>
        <w:t xml:space="preserve"> Source 13 (SAFE protect ban page) — 11, 14, 15c</w:t>
      </w:r>
      <w:r w:rsidRPr="003D505B">
        <w:rPr>
          <w:sz w:val="20"/>
          <w:szCs w:val="20"/>
        </w:rPr>
        <w:br/>
        <w:t xml:space="preserve"> Source 14 (Farmers Weekly backtracks March 2026) — 11</w:t>
      </w:r>
      <w:r w:rsidRPr="003D505B">
        <w:rPr>
          <w:sz w:val="20"/>
          <w:szCs w:val="20"/>
        </w:rPr>
        <w:br/>
        <w:t xml:space="preserve"> Category B — NZ Herald LENZ January 2024 — 3, 4, 14</w:t>
      </w:r>
    </w:p>
    <w:p w14:paraId="3EB64ABC" w14:textId="77777777" w:rsidR="003D505B" w:rsidRPr="003D505B" w:rsidRDefault="00641196" w:rsidP="003D505B">
      <w:pPr>
        <w:rPr>
          <w:sz w:val="20"/>
          <w:szCs w:val="20"/>
        </w:rPr>
      </w:pPr>
      <w:r>
        <w:rPr>
          <w:sz w:val="20"/>
          <w:szCs w:val="20"/>
        </w:rPr>
        <w:pict w14:anchorId="1636A85D">
          <v:rect id="_x0000_i1037" style="width:0;height:1.5pt" o:hralign="center" o:hrstd="t" o:hr="t" fillcolor="#a0a0a0" stroked="f"/>
        </w:pict>
      </w:r>
    </w:p>
    <w:p w14:paraId="725DD9AC" w14:textId="77777777" w:rsidR="003D505B" w:rsidRPr="003D505B" w:rsidRDefault="003D505B" w:rsidP="003D505B">
      <w:pPr>
        <w:rPr>
          <w:sz w:val="20"/>
          <w:szCs w:val="20"/>
        </w:rPr>
      </w:pPr>
      <w:r w:rsidRPr="003D505B">
        <w:rPr>
          <w:b/>
          <w:bCs/>
          <w:sz w:val="20"/>
          <w:szCs w:val="20"/>
        </w:rPr>
        <w:t>OBSERVATION</w:t>
      </w:r>
    </w:p>
    <w:p w14:paraId="15749159" w14:textId="77777777" w:rsidR="003D505B" w:rsidRPr="003D505B" w:rsidRDefault="003D505B" w:rsidP="003D505B">
      <w:pPr>
        <w:rPr>
          <w:sz w:val="20"/>
          <w:szCs w:val="20"/>
        </w:rPr>
      </w:pPr>
      <w:r w:rsidRPr="003D505B">
        <w:rPr>
          <w:sz w:val="20"/>
          <w:szCs w:val="20"/>
        </w:rPr>
        <w:t>Source 9 (MPI Regulatory Impact Statement) and Source 10 (Animal Welfare Amendment Bill) are the most load-bearing primary government sources, together anchoring Variables 1, 2, 6, 7, 9, 10, and 13. Sources 1 and 2 (SAFE and SPCA timelines) are the most load-bearing campaign-actor sources, anchoring the Notable Tactics entries — both are primary campaign actor documents, which means they present the campaign's own account. Where possible these are corroborated by independent sources (Eurogroup, RNZ, Frontiers paper). Source 3 (Frontiers 2026) is the only peer-reviewed academic source and contributes primarily to Variable 14 and opposition context. The source set is weighted toward government and campaign-actor sources with limited independent journalism and no academic literature specifically on the campaign itself — this is a structural feature of a recently resolved case without yet an established scholarly literature.</w:t>
      </w:r>
    </w:p>
    <w:p w14:paraId="33F8D288" w14:textId="77777777" w:rsidR="003D505B" w:rsidRPr="003D505B" w:rsidRDefault="00641196" w:rsidP="003D505B">
      <w:pPr>
        <w:rPr>
          <w:sz w:val="20"/>
          <w:szCs w:val="20"/>
        </w:rPr>
      </w:pPr>
      <w:r>
        <w:rPr>
          <w:sz w:val="20"/>
          <w:szCs w:val="20"/>
        </w:rPr>
        <w:pict w14:anchorId="49E5ACAF">
          <v:rect id="_x0000_i1038" style="width:0;height:1.5pt" o:hralign="center" o:hrstd="t" o:hr="t" fillcolor="#a0a0a0" stroked="f"/>
        </w:pict>
      </w:r>
    </w:p>
    <w:p w14:paraId="6BB18505" w14:textId="77777777" w:rsidR="003D505B" w:rsidRPr="003D505B" w:rsidRDefault="003D505B" w:rsidP="003D505B">
      <w:pPr>
        <w:rPr>
          <w:sz w:val="20"/>
          <w:szCs w:val="20"/>
        </w:rPr>
      </w:pPr>
      <w:r w:rsidRPr="003D505B">
        <w:rPr>
          <w:b/>
          <w:bCs/>
          <w:sz w:val="20"/>
          <w:szCs w:val="20"/>
        </w:rPr>
        <w:t>CASE-LEVEL SUMMARY</w:t>
      </w:r>
    </w:p>
    <w:p w14:paraId="1448F3F3" w14:textId="77777777" w:rsidR="003D505B" w:rsidRPr="003D505B" w:rsidRDefault="003D505B" w:rsidP="003D505B">
      <w:pPr>
        <w:rPr>
          <w:sz w:val="20"/>
          <w:szCs w:val="20"/>
        </w:rPr>
      </w:pPr>
      <w:r w:rsidRPr="003D505B">
        <w:rPr>
          <w:sz w:val="20"/>
          <w:szCs w:val="20"/>
        </w:rPr>
        <w:t>Variables coded at Insufficient: Variable 12 (Public sentiment starting point) — no qualifying pre-campaign representative polling on NZ live exports exists; confirmed by peer-reviewed literature. Case runs on 13 variables.</w:t>
      </w:r>
      <w:r w:rsidRPr="003D505B">
        <w:rPr>
          <w:sz w:val="20"/>
          <w:szCs w:val="20"/>
        </w:rPr>
        <w:br/>
        <w:t xml:space="preserve"> Variables coded at Medium confidence: Variable 8 (Coalition size) — broader coalition composition confirmed but not fully enumerated; Notable Tactic 15c (Insider defector deployment) — within-window veterinary voice deployment confirmed but less precisely documented than post-window material.</w:t>
      </w:r>
      <w:r w:rsidRPr="003D505B">
        <w:rPr>
          <w:sz w:val="20"/>
          <w:szCs w:val="20"/>
        </w:rPr>
        <w:br/>
        <w:t xml:space="preserve"> Phase 1/4 exception used: None — all variable codings draw from in-window sources. Sources 13 and 14 (SAFE protect ban page and Farmers Weekly March 2026) are post-window but used only for Variable 11 (Scale — confirming the 2026 government decision not to reinstate) and Variable 14 (Narrative dominance — confirming industry's own retrospective assessment). These are legitimate post-window corroboration uses under the protocol, not Phase 4 exceptions for variable codings.</w:t>
      </w:r>
      <w:r w:rsidRPr="003D505B">
        <w:rPr>
          <w:sz w:val="20"/>
          <w:szCs w:val="20"/>
        </w:rPr>
        <w:br/>
        <w:t xml:space="preserve"> Mixed/Unresolved: Not applicable — campaign resolved cleanly at window close (30 April 2023 ban in force).</w:t>
      </w:r>
    </w:p>
    <w:p w14:paraId="4DC370BE" w14:textId="77777777" w:rsidR="003D505B" w:rsidRPr="003D505B" w:rsidRDefault="003D505B" w:rsidP="003D505B">
      <w:pPr>
        <w:rPr>
          <w:sz w:val="20"/>
          <w:szCs w:val="20"/>
        </w:rPr>
      </w:pPr>
      <w:r w:rsidRPr="003D505B">
        <w:rPr>
          <w:b/>
          <w:bCs/>
          <w:sz w:val="20"/>
          <w:szCs w:val="20"/>
        </w:rPr>
        <w:t>OVERALL CASE CONFIDENCE/QUALITY FLAG</w:t>
      </w:r>
      <w:r w:rsidRPr="003D505B">
        <w:rPr>
          <w:b/>
          <w:bCs/>
          <w:sz w:val="20"/>
          <w:szCs w:val="20"/>
        </w:rPr>
        <w:br/>
      </w:r>
      <w:r w:rsidRPr="003D505B">
        <w:rPr>
          <w:sz w:val="20"/>
          <w:szCs w:val="20"/>
        </w:rPr>
        <w:t xml:space="preserve"> High. Thirteen of fourteen substantive variables (Variable 12 excluded) are coded, with 11 at High confidence and two at Medium. The case has an unusually strong primary government source set (MPI RIS, Animal Welfare Amendment Bill, Beehive announcement, Hansard) that directly evidences the policy mechanism, economic disruption, speed, and legislative landscape variables. The campaign-actor source set (SAFE, SPCA) is rich but requires acknowledgment that </w:t>
      </w:r>
      <w:r w:rsidRPr="003D505B">
        <w:rPr>
          <w:sz w:val="20"/>
          <w:szCs w:val="20"/>
        </w:rPr>
        <w:lastRenderedPageBreak/>
        <w:t>these are advocacy-organisation accounts; they are corroborated where possible by independent sources. The absence of academic literature on this specific campaign is a structural gap inherent to a recently resolved case, not a research failure.</w:t>
      </w:r>
    </w:p>
    <w:p w14:paraId="02A253EB" w14:textId="77777777" w:rsidR="003D505B" w:rsidRPr="003D505B" w:rsidRDefault="003D505B" w:rsidP="003D505B">
      <w:pPr>
        <w:rPr>
          <w:sz w:val="20"/>
          <w:szCs w:val="20"/>
        </w:rPr>
      </w:pPr>
      <w:r w:rsidRPr="003D505B">
        <w:rPr>
          <w:b/>
          <w:bCs/>
          <w:sz w:val="20"/>
          <w:szCs w:val="20"/>
        </w:rPr>
        <w:t>HINDSIGHT NOTES</w:t>
      </w:r>
    </w:p>
    <w:p w14:paraId="287A1BD0" w14:textId="77777777" w:rsidR="003D505B" w:rsidRPr="003D505B" w:rsidRDefault="003D505B" w:rsidP="003D505B">
      <w:pPr>
        <w:rPr>
          <w:sz w:val="20"/>
          <w:szCs w:val="20"/>
        </w:rPr>
      </w:pPr>
      <w:r w:rsidRPr="003D505B">
        <w:rPr>
          <w:sz w:val="20"/>
          <w:szCs w:val="20"/>
        </w:rPr>
        <w:t>Variable 11 (Scale) — the 2026 government decision not to reinstate the ban (confirmed by Farmers Weekly March 2026 and SAFE page) strengthens the scale coding retrospectively, confirming the ban's permanence beyond the campaign window. Not used in variable coding above.</w:t>
      </w:r>
      <w:r w:rsidRPr="003D505B">
        <w:rPr>
          <w:sz w:val="20"/>
          <w:szCs w:val="20"/>
        </w:rPr>
        <w:br/>
        <w:t xml:space="preserve"> Variable 12 (Public sentiment) — the Frontiers 2026 paper's finding that 51.8% of respondents said no safeguards would make reversing the ban acceptable, and that opposition was "principled, values-based, and stable," provides retrospective evidence of a deeply embedded anti-live-export public sentiment. This likely predated the campaign window but cannot be confirmed as a pre-2019 baseline without a pre-2019 survey. Not used in coding above.</w:t>
      </w:r>
      <w:r w:rsidRPr="003D505B">
        <w:rPr>
          <w:sz w:val="20"/>
          <w:szCs w:val="20"/>
        </w:rPr>
        <w:br/>
        <w:t xml:space="preserve"> Variable 14 (Narrative dominance) — the Frontiers 2026 paper confirms that even during the post-ban reversal debate (2023–2024), the welfare narrative remained dominant, with only 19% of the public supporting the ban's repeal. This validates the campaign's narrative dominance coding but is post-window.</w:t>
      </w:r>
    </w:p>
    <w:p w14:paraId="1642C9AF" w14:textId="26825452" w:rsidR="00E343DE" w:rsidRDefault="00E343DE" w:rsidP="00E343DE">
      <w:pPr>
        <w:pStyle w:val="Heading1"/>
      </w:pPr>
      <w:r>
        <w:t xml:space="preserve">CASE 8: </w:t>
      </w:r>
      <w:r w:rsidR="005E3E75">
        <w:t>UK foie gras import ban campaign</w:t>
      </w:r>
    </w:p>
    <w:p w14:paraId="7FDE8E6C" w14:textId="77777777" w:rsidR="00AE08E6" w:rsidRPr="00AE08E6" w:rsidRDefault="00AE08E6" w:rsidP="00AE08E6">
      <w:pPr>
        <w:rPr>
          <w:sz w:val="20"/>
          <w:szCs w:val="20"/>
        </w:rPr>
      </w:pPr>
      <w:r w:rsidRPr="00AE08E6">
        <w:rPr>
          <w:b/>
          <w:bCs/>
          <w:sz w:val="20"/>
          <w:szCs w:val="20"/>
        </w:rPr>
        <w:t>LIST B — EVIDENCE / CONFIDENCE / SOURCE TAG</w:t>
      </w:r>
    </w:p>
    <w:p w14:paraId="180AB841" w14:textId="77777777" w:rsidR="00AE08E6" w:rsidRPr="00AE08E6" w:rsidRDefault="00AE08E6" w:rsidP="00043AF9">
      <w:pPr>
        <w:numPr>
          <w:ilvl w:val="0"/>
          <w:numId w:val="49"/>
        </w:numPr>
        <w:rPr>
          <w:sz w:val="20"/>
          <w:szCs w:val="20"/>
        </w:rPr>
      </w:pPr>
      <w:r w:rsidRPr="00AE08E6">
        <w:rPr>
          <w:sz w:val="20"/>
          <w:szCs w:val="20"/>
        </w:rPr>
        <w:t>Target type</w:t>
      </w:r>
      <w:r w:rsidRPr="00AE08E6">
        <w:rPr>
          <w:sz w:val="20"/>
          <w:szCs w:val="20"/>
        </w:rPr>
        <w:br/>
        <w:t xml:space="preserve"> Evidence: Source 3 (Animal Equality policy briefing) and Source 9 (Hansard) confirm UK government as the sole legislative decision-maker. Source 12 (Food Manufacture, June 2026) confirms the EU trade deal dynamic as a secondary structural obstacle, with EU rules preventing product-specific animal welfare bans within a food standards alignment framework.</w:t>
      </w:r>
      <w:r w:rsidRPr="00AE08E6">
        <w:rPr>
          <w:sz w:val="20"/>
          <w:szCs w:val="20"/>
        </w:rPr>
        <w:br/>
        <w:t xml:space="preserve"> Confidence: High.</w:t>
      </w:r>
      <w:r w:rsidRPr="00AE08E6">
        <w:rPr>
          <w:sz w:val="20"/>
          <w:szCs w:val="20"/>
        </w:rPr>
        <w:br/>
        <w:t xml:space="preserve"> Source Tag: Sources 3, 9, 12.</w:t>
      </w:r>
    </w:p>
    <w:p w14:paraId="6E4B4231" w14:textId="77777777" w:rsidR="00AE08E6" w:rsidRPr="00AE08E6" w:rsidRDefault="00AE08E6" w:rsidP="00043AF9">
      <w:pPr>
        <w:numPr>
          <w:ilvl w:val="0"/>
          <w:numId w:val="49"/>
        </w:numPr>
        <w:rPr>
          <w:sz w:val="20"/>
          <w:szCs w:val="20"/>
        </w:rPr>
      </w:pPr>
      <w:r w:rsidRPr="00AE08E6">
        <w:rPr>
          <w:sz w:val="20"/>
          <w:szCs w:val="20"/>
        </w:rPr>
        <w:t>Concentration of decision-making power</w:t>
      </w:r>
      <w:r w:rsidRPr="00AE08E6">
        <w:rPr>
          <w:sz w:val="20"/>
          <w:szCs w:val="20"/>
        </w:rPr>
        <w:br/>
        <w:t xml:space="preserve"> Evidence: Source 9 (Hansard) documents the ministerial response (Pow) and the pattern of decisions resting with Defra ministers. Source 10 (CAWF written evidence) documents repeated ministerial stalling without parliamentary vote. Source 12 confirms the June 2026 decision was made at cabinet/negotiation level, not by Parliament.</w:t>
      </w:r>
      <w:r w:rsidRPr="00AE08E6">
        <w:rPr>
          <w:sz w:val="20"/>
          <w:szCs w:val="20"/>
        </w:rPr>
        <w:br/>
        <w:t xml:space="preserve"> Confidence: High.</w:t>
      </w:r>
      <w:r w:rsidRPr="00AE08E6">
        <w:rPr>
          <w:sz w:val="20"/>
          <w:szCs w:val="20"/>
        </w:rPr>
        <w:br/>
        <w:t xml:space="preserve"> Source Tag: Sources 9, 10, 12.</w:t>
      </w:r>
    </w:p>
    <w:p w14:paraId="583754ED" w14:textId="77777777" w:rsidR="00AE08E6" w:rsidRPr="00AE08E6" w:rsidRDefault="00AE08E6" w:rsidP="00043AF9">
      <w:pPr>
        <w:numPr>
          <w:ilvl w:val="0"/>
          <w:numId w:val="49"/>
        </w:numPr>
        <w:rPr>
          <w:sz w:val="20"/>
          <w:szCs w:val="20"/>
        </w:rPr>
      </w:pPr>
      <w:r w:rsidRPr="00AE08E6">
        <w:rPr>
          <w:sz w:val="20"/>
          <w:szCs w:val="20"/>
        </w:rPr>
        <w:t>Strength of opposition</w:t>
      </w:r>
      <w:r w:rsidRPr="00AE08E6">
        <w:rPr>
          <w:sz w:val="20"/>
          <w:szCs w:val="20"/>
        </w:rPr>
        <w:br/>
        <w:t xml:space="preserve"> Evidence: Source 7 (Connexion France) documents Cifog's opposition and economic framing (30,000 families, 100,000 direct and indirect jobs in France). Source 8 (Connexion France) documents French Ambassador lobbying UK government directly. Source 12 documents EU trade deal as the operative blocking mechanism as of June 2026. Sources 5 and 9 document internal UK cabinet resistance as a parallel opposition track under the Conservatives.</w:t>
      </w:r>
      <w:r w:rsidRPr="00AE08E6">
        <w:rPr>
          <w:sz w:val="20"/>
          <w:szCs w:val="20"/>
        </w:rPr>
        <w:br/>
        <w:t xml:space="preserve"> Confidence: High — multiple distinct opposition channels documented.</w:t>
      </w:r>
      <w:r w:rsidRPr="00AE08E6">
        <w:rPr>
          <w:sz w:val="20"/>
          <w:szCs w:val="20"/>
        </w:rPr>
        <w:br/>
        <w:t xml:space="preserve"> Source Tag: Sources 5, 7, 8, 9, 12.</w:t>
      </w:r>
    </w:p>
    <w:p w14:paraId="5DC1DD24" w14:textId="77777777" w:rsidR="00AE08E6" w:rsidRPr="00AE08E6" w:rsidRDefault="00AE08E6" w:rsidP="00043AF9">
      <w:pPr>
        <w:numPr>
          <w:ilvl w:val="0"/>
          <w:numId w:val="49"/>
        </w:numPr>
        <w:rPr>
          <w:sz w:val="20"/>
          <w:szCs w:val="20"/>
        </w:rPr>
      </w:pPr>
      <w:r w:rsidRPr="00AE08E6">
        <w:rPr>
          <w:sz w:val="20"/>
          <w:szCs w:val="20"/>
        </w:rPr>
        <w:t>Type of opposition</w:t>
      </w:r>
      <w:r w:rsidRPr="00AE08E6">
        <w:rPr>
          <w:sz w:val="20"/>
          <w:szCs w:val="20"/>
        </w:rPr>
        <w:br/>
        <w:t xml:space="preserve"> Evidence: Source 8 confirms diplomatic lobbying through trade representatives as the primary opposition mechanism. Source 12 confirms EU food standards alignment as the structural mechanism under Labour. Source 9 (Hansard, Pow's response) confirms internal government resistance framed as "evidence-building" rather than outright opposition. No source documents a public counter-campaign or legal challenge.</w:t>
      </w:r>
      <w:r w:rsidRPr="00AE08E6">
        <w:rPr>
          <w:sz w:val="20"/>
          <w:szCs w:val="20"/>
        </w:rPr>
        <w:br/>
        <w:t xml:space="preserve"> Confidence: High.</w:t>
      </w:r>
      <w:r w:rsidRPr="00AE08E6">
        <w:rPr>
          <w:sz w:val="20"/>
          <w:szCs w:val="20"/>
        </w:rPr>
        <w:br/>
        <w:t xml:space="preserve"> Source Tag: Sources 8, 9, 12.</w:t>
      </w:r>
    </w:p>
    <w:p w14:paraId="714D8E22" w14:textId="77777777" w:rsidR="00AE08E6" w:rsidRPr="00AE08E6" w:rsidRDefault="00AE08E6" w:rsidP="00043AF9">
      <w:pPr>
        <w:numPr>
          <w:ilvl w:val="0"/>
          <w:numId w:val="49"/>
        </w:numPr>
        <w:rPr>
          <w:sz w:val="20"/>
          <w:szCs w:val="20"/>
        </w:rPr>
      </w:pPr>
      <w:r w:rsidRPr="00AE08E6">
        <w:rPr>
          <w:sz w:val="20"/>
          <w:szCs w:val="20"/>
        </w:rPr>
        <w:t>Visibility of harm to the public</w:t>
      </w:r>
      <w:r w:rsidRPr="00AE08E6">
        <w:rPr>
          <w:sz w:val="20"/>
          <w:szCs w:val="20"/>
        </w:rPr>
        <w:br/>
        <w:t xml:space="preserve"> Evidence: Source 4 (Animal Equality campaign page) documents 10+ farm investigations; Source 2 confirms less than 10% of Brits consume foie gras. Source 1 (Broom &amp; Rochlitz 2017) provides the peer-reviewed scientific </w:t>
      </w:r>
      <w:r w:rsidRPr="00AE08E6">
        <w:rPr>
          <w:sz w:val="20"/>
          <w:szCs w:val="20"/>
        </w:rPr>
        <w:lastRenderedPageBreak/>
        <w:t>foundation for harm visibility claims.</w:t>
      </w:r>
      <w:r w:rsidRPr="00AE08E6">
        <w:rPr>
          <w:sz w:val="20"/>
          <w:szCs w:val="20"/>
        </w:rPr>
        <w:br/>
        <w:t xml:space="preserve"> Confidence: Medium — visibility is campaign-driven and episodic rather than independently sustained; single actor (Animal Equality) dominates the evidence base for this variable.</w:t>
      </w:r>
      <w:r w:rsidRPr="00AE08E6">
        <w:rPr>
          <w:sz w:val="20"/>
          <w:szCs w:val="20"/>
        </w:rPr>
        <w:br/>
        <w:t xml:space="preserve"> Source Tag: Sources 1, 2, 4.</w:t>
      </w:r>
    </w:p>
    <w:p w14:paraId="4752A94F" w14:textId="77777777" w:rsidR="00AE08E6" w:rsidRPr="00AE08E6" w:rsidRDefault="00AE08E6" w:rsidP="00043AF9">
      <w:pPr>
        <w:numPr>
          <w:ilvl w:val="0"/>
          <w:numId w:val="49"/>
        </w:numPr>
        <w:rPr>
          <w:sz w:val="20"/>
          <w:szCs w:val="20"/>
        </w:rPr>
      </w:pPr>
      <w:r w:rsidRPr="00AE08E6">
        <w:rPr>
          <w:sz w:val="20"/>
          <w:szCs w:val="20"/>
        </w:rPr>
        <w:t>Degree of behaviour change required</w:t>
      </w:r>
      <w:r w:rsidRPr="00AE08E6">
        <w:rPr>
          <w:sz w:val="20"/>
          <w:szCs w:val="20"/>
        </w:rPr>
        <w:br/>
        <w:t xml:space="preserve"> Evidence: Source 3 (Animal Equality policy briefing) confirms the mechanism is a regulatory import prohibition requiring no consumer or domestic industry behaviour change. Source 7 (Connexion France) quantifies the French export trade at ~€1.7M annually — confirming negligible economic scale.</w:t>
      </w:r>
      <w:r w:rsidRPr="00AE08E6">
        <w:rPr>
          <w:sz w:val="20"/>
          <w:szCs w:val="20"/>
        </w:rPr>
        <w:br/>
        <w:t xml:space="preserve"> Confidence: High.</w:t>
      </w:r>
      <w:r w:rsidRPr="00AE08E6">
        <w:rPr>
          <w:sz w:val="20"/>
          <w:szCs w:val="20"/>
        </w:rPr>
        <w:br/>
        <w:t xml:space="preserve"> Source Tag: Sources 3, 7.</w:t>
      </w:r>
    </w:p>
    <w:p w14:paraId="49361863" w14:textId="77777777" w:rsidR="00AE08E6" w:rsidRPr="00AE08E6" w:rsidRDefault="00AE08E6" w:rsidP="00043AF9">
      <w:pPr>
        <w:numPr>
          <w:ilvl w:val="0"/>
          <w:numId w:val="49"/>
        </w:numPr>
        <w:rPr>
          <w:sz w:val="20"/>
          <w:szCs w:val="20"/>
        </w:rPr>
      </w:pPr>
      <w:r w:rsidRPr="00AE08E6">
        <w:rPr>
          <w:sz w:val="20"/>
          <w:szCs w:val="20"/>
        </w:rPr>
        <w:t>Role of policy vs market pressure vs cultural shift</w:t>
      </w:r>
      <w:r w:rsidRPr="00AE08E6">
        <w:rPr>
          <w:sz w:val="20"/>
          <w:szCs w:val="20"/>
        </w:rPr>
        <w:br/>
        <w:t xml:space="preserve"> Evidence: Source 9 (Hansard, Watling) explicitly frames the campaign as seeking legislative action. Source 4 documents voluntary retailer withdrawals as secondary. Source 12 confirms the legislative mechanism remains the campaign's sole objective.</w:t>
      </w:r>
      <w:r w:rsidRPr="00AE08E6">
        <w:rPr>
          <w:sz w:val="20"/>
          <w:szCs w:val="20"/>
        </w:rPr>
        <w:br/>
        <w:t xml:space="preserve"> Confidence: High.</w:t>
      </w:r>
      <w:r w:rsidRPr="00AE08E6">
        <w:rPr>
          <w:sz w:val="20"/>
          <w:szCs w:val="20"/>
        </w:rPr>
        <w:br/>
        <w:t xml:space="preserve"> Source Tag: Sources 4, 9, 12.</w:t>
      </w:r>
    </w:p>
    <w:p w14:paraId="3B525BE4" w14:textId="77777777" w:rsidR="00AE08E6" w:rsidRPr="00AE08E6" w:rsidRDefault="00AE08E6" w:rsidP="00043AF9">
      <w:pPr>
        <w:numPr>
          <w:ilvl w:val="0"/>
          <w:numId w:val="49"/>
        </w:numPr>
        <w:rPr>
          <w:sz w:val="20"/>
          <w:szCs w:val="20"/>
        </w:rPr>
      </w:pPr>
      <w:r w:rsidRPr="00AE08E6">
        <w:rPr>
          <w:sz w:val="20"/>
          <w:szCs w:val="20"/>
        </w:rPr>
        <w:t>Coalition size, type, and presence of non-obvious allies</w:t>
      </w:r>
      <w:r w:rsidRPr="00AE08E6">
        <w:rPr>
          <w:sz w:val="20"/>
          <w:szCs w:val="20"/>
        </w:rPr>
        <w:br/>
        <w:t xml:space="preserve"> Evidence: Source 4 (Animal Equality campaign page) documents coalition partners and celebrity supporters. Source 5 (CAWF) documents Conservative MPs as non-obvious within-party allies. Source 9 (Hansard) confirms King Charles royal residence ban (referenced by Watling) and Fortnum &amp; Mason voluntary withdrawal — both non-obvious institutional allies. Source 11 (Animal Equality March 2026) documents Viva!, PETA UK, FOUR PAWS joining the March 2026 Downing Street hand-in.</w:t>
      </w:r>
      <w:r w:rsidRPr="00AE08E6">
        <w:rPr>
          <w:sz w:val="20"/>
          <w:szCs w:val="20"/>
        </w:rPr>
        <w:br/>
        <w:t xml:space="preserve"> Confidence: High — coalition composition directly evidenced; non-obvious allies specifically named.</w:t>
      </w:r>
      <w:r w:rsidRPr="00AE08E6">
        <w:rPr>
          <w:sz w:val="20"/>
          <w:szCs w:val="20"/>
        </w:rPr>
        <w:br/>
        <w:t xml:space="preserve"> Source Tag: Sources 4, 5, 9, 11.</w:t>
      </w:r>
    </w:p>
    <w:p w14:paraId="619C1012" w14:textId="77777777" w:rsidR="00AE08E6" w:rsidRPr="00AE08E6" w:rsidRDefault="00AE08E6" w:rsidP="00043AF9">
      <w:pPr>
        <w:numPr>
          <w:ilvl w:val="0"/>
          <w:numId w:val="49"/>
        </w:numPr>
        <w:rPr>
          <w:sz w:val="20"/>
          <w:szCs w:val="20"/>
        </w:rPr>
      </w:pPr>
      <w:r w:rsidRPr="00AE08E6">
        <w:rPr>
          <w:sz w:val="20"/>
          <w:szCs w:val="20"/>
        </w:rPr>
        <w:t>Economic disruption required</w:t>
      </w:r>
      <w:r w:rsidRPr="00AE08E6">
        <w:rPr>
          <w:sz w:val="20"/>
          <w:szCs w:val="20"/>
        </w:rPr>
        <w:br/>
        <w:t xml:space="preserve"> Evidence: Source 7 (Connexion France) quantifies UK-bound foie gras exports at ~29 tonnes raw + 65 tonnes processed annually worth ~€1.7M — an economically negligible figure. Source 3 (policy briefing) frames the ban as affecting only a luxury import with no domestic industry impact.</w:t>
      </w:r>
      <w:r w:rsidRPr="00AE08E6">
        <w:rPr>
          <w:sz w:val="20"/>
          <w:szCs w:val="20"/>
        </w:rPr>
        <w:br/>
        <w:t xml:space="preserve"> Confidence: High — specific figures directly sourced.</w:t>
      </w:r>
      <w:r w:rsidRPr="00AE08E6">
        <w:rPr>
          <w:sz w:val="20"/>
          <w:szCs w:val="20"/>
        </w:rPr>
        <w:br/>
        <w:t xml:space="preserve"> Source Tag: Sources 3, 7.</w:t>
      </w:r>
    </w:p>
    <w:p w14:paraId="3B215F00" w14:textId="77777777" w:rsidR="00AE08E6" w:rsidRPr="00AE08E6" w:rsidRDefault="00AE08E6" w:rsidP="00043AF9">
      <w:pPr>
        <w:numPr>
          <w:ilvl w:val="0"/>
          <w:numId w:val="49"/>
        </w:numPr>
        <w:rPr>
          <w:sz w:val="20"/>
          <w:szCs w:val="20"/>
        </w:rPr>
      </w:pPr>
      <w:r w:rsidRPr="00AE08E6">
        <w:rPr>
          <w:sz w:val="20"/>
          <w:szCs w:val="20"/>
        </w:rPr>
        <w:t>Speed of change achieved — Mixed/Unresolved</w:t>
      </w:r>
      <w:r w:rsidRPr="00AE08E6">
        <w:rPr>
          <w:sz w:val="20"/>
          <w:szCs w:val="20"/>
        </w:rPr>
        <w:br/>
        <w:t xml:space="preserve"> Evidence: Source 2 confirms June 2017 campaign launch. Source 4 documents the full timeline of commitments secured and dropped. Source 12 (June 2026) confirms the most recent reversal. Seven years without legislation despite multiple political commitments is directly evidenced.</w:t>
      </w:r>
      <w:r w:rsidRPr="00AE08E6">
        <w:rPr>
          <w:sz w:val="20"/>
          <w:szCs w:val="20"/>
        </w:rPr>
        <w:br/>
        <w:t xml:space="preserve"> Confidence: High — timeline precisely documented.</w:t>
      </w:r>
      <w:r w:rsidRPr="00AE08E6">
        <w:rPr>
          <w:sz w:val="20"/>
          <w:szCs w:val="20"/>
        </w:rPr>
        <w:br/>
        <w:t xml:space="preserve"> Source Tag: Sources 2, 4, 12.</w:t>
      </w:r>
    </w:p>
    <w:p w14:paraId="0A466263" w14:textId="77777777" w:rsidR="00AE08E6" w:rsidRPr="00AE08E6" w:rsidRDefault="00AE08E6" w:rsidP="00043AF9">
      <w:pPr>
        <w:numPr>
          <w:ilvl w:val="0"/>
          <w:numId w:val="49"/>
        </w:numPr>
        <w:rPr>
          <w:sz w:val="20"/>
          <w:szCs w:val="20"/>
        </w:rPr>
      </w:pPr>
      <w:r w:rsidRPr="00AE08E6">
        <w:rPr>
          <w:sz w:val="20"/>
          <w:szCs w:val="20"/>
        </w:rPr>
        <w:t>Scale of change achieved — Mixed/Unresolved</w:t>
      </w:r>
      <w:r w:rsidRPr="00AE08E6">
        <w:rPr>
          <w:sz w:val="20"/>
          <w:szCs w:val="20"/>
        </w:rPr>
        <w:br/>
        <w:t xml:space="preserve"> Evidence: Source 4 documents 315,000+ petition signatures, parliamentary debate, cross-party commitment. Source 9 (Hansard) confirms Fortnum &amp; Mason voluntary withdrawal referenced in debate. Source 11 documents the March 2026 Downing Street hand-in. No legislation passed — directly confirmed by Source 12.</w:t>
      </w:r>
      <w:r w:rsidRPr="00AE08E6">
        <w:rPr>
          <w:sz w:val="20"/>
          <w:szCs w:val="20"/>
        </w:rPr>
        <w:br/>
        <w:t xml:space="preserve"> Confidence: High — both achievements and failures directly evidenced.</w:t>
      </w:r>
      <w:r w:rsidRPr="00AE08E6">
        <w:rPr>
          <w:sz w:val="20"/>
          <w:szCs w:val="20"/>
        </w:rPr>
        <w:br/>
        <w:t xml:space="preserve"> Source Tag: Sources 4, 9, 11, 12.</w:t>
      </w:r>
    </w:p>
    <w:p w14:paraId="49392C35" w14:textId="77777777" w:rsidR="00AE08E6" w:rsidRPr="00AE08E6" w:rsidRDefault="00AE08E6" w:rsidP="00043AF9">
      <w:pPr>
        <w:numPr>
          <w:ilvl w:val="0"/>
          <w:numId w:val="49"/>
        </w:numPr>
        <w:rPr>
          <w:sz w:val="20"/>
          <w:szCs w:val="20"/>
        </w:rPr>
      </w:pPr>
      <w:r w:rsidRPr="00AE08E6">
        <w:rPr>
          <w:sz w:val="20"/>
          <w:szCs w:val="20"/>
        </w:rPr>
        <w:t>Public sentiment starting point</w:t>
      </w:r>
      <w:r w:rsidRPr="00AE08E6">
        <w:rPr>
          <w:sz w:val="20"/>
          <w:szCs w:val="20"/>
        </w:rPr>
        <w:br/>
        <w:t xml:space="preserve"> Evidence: Source 2 (Animal Equality, June 2017) documents YouGov poll (6–7 June 2017, n=2,079): 77% of those who expressed an opinion support a foie gras import ban; less than 10% of Brits consume foie gras. Flag: poll commissioned by Animal Equality and conducted at campaign launch — may capture early campaign activation rather than a pre-existing baseline. The Poultry Site (December 2018, RSPCA/YouGov, in-window) found 67% of Brits want lower-welfare food imports banned — broader than foie gras specifically but corroborating direction.</w:t>
      </w:r>
      <w:r w:rsidRPr="00AE08E6">
        <w:rPr>
          <w:sz w:val="20"/>
          <w:szCs w:val="20"/>
        </w:rPr>
        <w:br/>
        <w:t xml:space="preserve"> Confidence: Medium — directionally consistent across two sources; the June 2017 poll is campaign-</w:t>
      </w:r>
      <w:r w:rsidRPr="00AE08E6">
        <w:rPr>
          <w:sz w:val="20"/>
          <w:szCs w:val="20"/>
        </w:rPr>
        <w:lastRenderedPageBreak/>
        <w:t>commissioned and at-window-open rather than pre-window; no independent pre-2017 polling found.</w:t>
      </w:r>
      <w:r w:rsidRPr="00AE08E6">
        <w:rPr>
          <w:sz w:val="20"/>
          <w:szCs w:val="20"/>
        </w:rPr>
        <w:br/>
        <w:t xml:space="preserve"> Source Tag: Source 2 (flagged); The Poultry Site December 2018 (in-window corroboration only).</w:t>
      </w:r>
    </w:p>
    <w:p w14:paraId="3161C898" w14:textId="77777777" w:rsidR="00AE08E6" w:rsidRPr="00AE08E6" w:rsidRDefault="00AE08E6" w:rsidP="00043AF9">
      <w:pPr>
        <w:numPr>
          <w:ilvl w:val="0"/>
          <w:numId w:val="49"/>
        </w:numPr>
        <w:rPr>
          <w:sz w:val="20"/>
          <w:szCs w:val="20"/>
        </w:rPr>
      </w:pPr>
      <w:r w:rsidRPr="00AE08E6">
        <w:rPr>
          <w:sz w:val="20"/>
          <w:szCs w:val="20"/>
        </w:rPr>
        <w:t>Legal/regulatory landscape</w:t>
      </w:r>
      <w:r w:rsidRPr="00AE08E6">
        <w:rPr>
          <w:sz w:val="20"/>
          <w:szCs w:val="20"/>
        </w:rPr>
        <w:br/>
        <w:t xml:space="preserve"> Evidence: Source 3 (policy briefing) documents the Animal Welfare Act 2006 and Welfare of Farmed Animals Regulations as the domestic legal basis for the campaign's central argument. Source 12 (Food Manufacture) documents EU food standards alignment as the operative legal obstacle as of June 2026, with EU rules preventing product-specific animal welfare import bans within the alignment framework; Animal Law Foundation quoted confirming the WTO public morals exemption as a potential avenue. Source 9 (Hansard, Pow) documents the government's WTO assessment as part of the "evidence-building" process.</w:t>
      </w:r>
      <w:r w:rsidRPr="00AE08E6">
        <w:rPr>
          <w:sz w:val="20"/>
          <w:szCs w:val="20"/>
        </w:rPr>
        <w:br/>
        <w:t xml:space="preserve"> Confidence: High — legal landscape directly and specifically evidenced across campaign, government, and legal actor sources.</w:t>
      </w:r>
      <w:r w:rsidRPr="00AE08E6">
        <w:rPr>
          <w:sz w:val="20"/>
          <w:szCs w:val="20"/>
        </w:rPr>
        <w:br/>
        <w:t xml:space="preserve"> Source Tag: Sources 3, 9, 12.</w:t>
      </w:r>
    </w:p>
    <w:p w14:paraId="0F5932CF" w14:textId="77777777" w:rsidR="00AE08E6" w:rsidRPr="00AE08E6" w:rsidRDefault="00AE08E6" w:rsidP="00043AF9">
      <w:pPr>
        <w:numPr>
          <w:ilvl w:val="0"/>
          <w:numId w:val="49"/>
        </w:numPr>
        <w:rPr>
          <w:sz w:val="20"/>
          <w:szCs w:val="20"/>
        </w:rPr>
      </w:pPr>
      <w:r w:rsidRPr="00AE08E6">
        <w:rPr>
          <w:sz w:val="20"/>
          <w:szCs w:val="20"/>
        </w:rPr>
        <w:t>Narrative dominance — Mixed/Unresolved</w:t>
      </w:r>
      <w:r w:rsidRPr="00AE08E6">
        <w:rPr>
          <w:sz w:val="20"/>
          <w:szCs w:val="20"/>
        </w:rPr>
        <w:br/>
        <w:t xml:space="preserve"> Evidence: Source 9 (Hansard) shows the "too cruel to produce, too cruel to import" framing adopted by both Conservative MPs (Watling, Smith) and Labour (Jones) — indicating cross-party institutional adoption. Source 12 documents the EU trade deal framing as an effective counter-narrative that has successfully blocked action as of June 2026, with Humane World for Animals UK characterising it as "outsourcing cruelty." No source documents the French industry's "freedom of choice" framing achieving mainstream UK public traction.</w:t>
      </w:r>
      <w:r w:rsidRPr="00AE08E6">
        <w:rPr>
          <w:sz w:val="20"/>
          <w:szCs w:val="20"/>
        </w:rPr>
        <w:br/>
        <w:t xml:space="preserve"> Confidence: Medium — campaign framing dominates parliamentary arena; EU trade counter-narrative has proven operationally effective despite not winning the public argument.</w:t>
      </w:r>
      <w:r w:rsidRPr="00AE08E6">
        <w:rPr>
          <w:sz w:val="20"/>
          <w:szCs w:val="20"/>
        </w:rPr>
        <w:br/>
        <w:t xml:space="preserve"> Source Tag: Sources 9, 12.</w:t>
      </w:r>
    </w:p>
    <w:p w14:paraId="6BFEDC87" w14:textId="77777777" w:rsidR="00AE08E6" w:rsidRPr="00AE08E6" w:rsidRDefault="00AE08E6" w:rsidP="00043AF9">
      <w:pPr>
        <w:numPr>
          <w:ilvl w:val="0"/>
          <w:numId w:val="49"/>
        </w:numPr>
        <w:rPr>
          <w:sz w:val="20"/>
          <w:szCs w:val="20"/>
        </w:rPr>
      </w:pPr>
      <w:r w:rsidRPr="00AE08E6">
        <w:rPr>
          <w:sz w:val="20"/>
          <w:szCs w:val="20"/>
        </w:rPr>
        <w:t>Notable Tactics</w:t>
      </w:r>
    </w:p>
    <w:p w14:paraId="2B5F2320" w14:textId="77777777" w:rsidR="00AE08E6" w:rsidRPr="00AE08E6" w:rsidRDefault="00AE08E6" w:rsidP="00AE08E6">
      <w:pPr>
        <w:rPr>
          <w:sz w:val="20"/>
          <w:szCs w:val="20"/>
        </w:rPr>
      </w:pPr>
      <w:r w:rsidRPr="00AE08E6">
        <w:rPr>
          <w:sz w:val="20"/>
          <w:szCs w:val="20"/>
        </w:rPr>
        <w:t>a. "Too cruel to produce, too cruel to import" framing</w:t>
      </w:r>
      <w:r w:rsidRPr="00AE08E6">
        <w:rPr>
          <w:sz w:val="20"/>
          <w:szCs w:val="20"/>
        </w:rPr>
        <w:br/>
        <w:t xml:space="preserve"> Evidence: Source 3 (policy briefing) deploys this framing as its central argument with explicit reference to the Animal Welfare Act 2006. Source 9 (Hansard, Henry Smith) repeats it verbatim in parliamentary debate — confirming uptake by legislators. Source 4 documents it as the campaign's primary slogan.</w:t>
      </w:r>
      <w:r w:rsidRPr="00AE08E6">
        <w:rPr>
          <w:sz w:val="20"/>
          <w:szCs w:val="20"/>
        </w:rPr>
        <w:br/>
        <w:t xml:space="preserve"> Confidence: High.</w:t>
      </w:r>
      <w:r w:rsidRPr="00AE08E6">
        <w:rPr>
          <w:sz w:val="20"/>
          <w:szCs w:val="20"/>
        </w:rPr>
        <w:br/>
        <w:t xml:space="preserve"> Source Tag: Sources 3, 4, 9.</w:t>
      </w:r>
    </w:p>
    <w:p w14:paraId="7BD354AB" w14:textId="77777777" w:rsidR="00AE08E6" w:rsidRPr="00AE08E6" w:rsidRDefault="00AE08E6" w:rsidP="00AE08E6">
      <w:pPr>
        <w:rPr>
          <w:sz w:val="20"/>
          <w:szCs w:val="20"/>
        </w:rPr>
      </w:pPr>
      <w:r w:rsidRPr="00AE08E6">
        <w:rPr>
          <w:sz w:val="20"/>
          <w:szCs w:val="20"/>
        </w:rPr>
        <w:t>b. Investigative footage deployment</w:t>
      </w:r>
      <w:r w:rsidRPr="00AE08E6">
        <w:rPr>
          <w:sz w:val="20"/>
          <w:szCs w:val="20"/>
        </w:rPr>
        <w:br/>
        <w:t xml:space="preserve"> Evidence: Source 4 (campaign page) documents 10+ farm investigations in France and Spain with footage released at strategic moments; November 2023 exclusive footage explicitly described as "never-before-seen." Source 2 references earlier investigations as foundational to the 2017 campaign launch.</w:t>
      </w:r>
      <w:r w:rsidRPr="00AE08E6">
        <w:rPr>
          <w:sz w:val="20"/>
          <w:szCs w:val="20"/>
        </w:rPr>
        <w:br/>
        <w:t xml:space="preserve"> Confidence: High — directly and specifically evidenced.</w:t>
      </w:r>
      <w:r w:rsidRPr="00AE08E6">
        <w:rPr>
          <w:sz w:val="20"/>
          <w:szCs w:val="20"/>
        </w:rPr>
        <w:br/>
        <w:t xml:space="preserve"> Source Tag: Sources 2, 4.</w:t>
      </w:r>
    </w:p>
    <w:p w14:paraId="75642059" w14:textId="77777777" w:rsidR="00AE08E6" w:rsidRPr="00AE08E6" w:rsidRDefault="00AE08E6" w:rsidP="00AE08E6">
      <w:pPr>
        <w:rPr>
          <w:sz w:val="20"/>
          <w:szCs w:val="20"/>
        </w:rPr>
      </w:pPr>
      <w:r w:rsidRPr="00AE08E6">
        <w:rPr>
          <w:sz w:val="20"/>
          <w:szCs w:val="20"/>
        </w:rPr>
        <w:t>c. Celebrity and insider recruitment</w:t>
      </w:r>
      <w:r w:rsidRPr="00AE08E6">
        <w:rPr>
          <w:sz w:val="20"/>
          <w:szCs w:val="20"/>
        </w:rPr>
        <w:br/>
        <w:t xml:space="preserve"> Evidence: Source 4 documents the celebrity list (Gervais, Margolyes, Lumley, Rylance, Egan) and Michelin-starred chef Alexis Gauthier's restaurant conversion to plant-based faux gras. Source 9 (Hansard) confirms Peter Egan's Downing Street petition delivery was noted in parliamentary debate — confirming parliamentary-level recognition of the tactic's impact.</w:t>
      </w:r>
      <w:r w:rsidRPr="00AE08E6">
        <w:rPr>
          <w:sz w:val="20"/>
          <w:szCs w:val="20"/>
        </w:rPr>
        <w:br/>
        <w:t xml:space="preserve"> Confidence: High.</w:t>
      </w:r>
      <w:r w:rsidRPr="00AE08E6">
        <w:rPr>
          <w:sz w:val="20"/>
          <w:szCs w:val="20"/>
        </w:rPr>
        <w:br/>
        <w:t xml:space="preserve"> Source Tag: Sources 4, 9.</w:t>
      </w:r>
    </w:p>
    <w:p w14:paraId="1D39FCD5" w14:textId="77777777" w:rsidR="00AE08E6" w:rsidRPr="00AE08E6" w:rsidRDefault="00AE08E6" w:rsidP="00AE08E6">
      <w:pPr>
        <w:rPr>
          <w:sz w:val="20"/>
          <w:szCs w:val="20"/>
        </w:rPr>
      </w:pPr>
      <w:r w:rsidRPr="00AE08E6">
        <w:rPr>
          <w:sz w:val="20"/>
          <w:szCs w:val="20"/>
        </w:rPr>
        <w:t>d. Petition escalation with staged Downing Street hand-ins</w:t>
      </w:r>
      <w:r w:rsidRPr="00AE08E6">
        <w:rPr>
          <w:sz w:val="20"/>
          <w:szCs w:val="20"/>
        </w:rPr>
        <w:br/>
        <w:t xml:space="preserve"> Evidence: Source 4 documents both hand-ins (September 2021: 225,000 signatures; March 2026: 315,000+ signatures). Source 11 documents the March 2026 hand-in with allied organisations. Source 9 (Hansard) references the 280,000-signature figure in parliamentary debate — confirming the hand-ins generated parliamentary-level attention.</w:t>
      </w:r>
      <w:r w:rsidRPr="00AE08E6">
        <w:rPr>
          <w:sz w:val="20"/>
          <w:szCs w:val="20"/>
        </w:rPr>
        <w:br/>
        <w:t xml:space="preserve"> Confidence: High — two distinct events directly evidenced with specific figures.</w:t>
      </w:r>
      <w:r w:rsidRPr="00AE08E6">
        <w:rPr>
          <w:sz w:val="20"/>
          <w:szCs w:val="20"/>
        </w:rPr>
        <w:br/>
        <w:t xml:space="preserve"> Source Tag: Sources 4, 9, 11.</w:t>
      </w:r>
    </w:p>
    <w:p w14:paraId="54A52CA7" w14:textId="77777777" w:rsidR="00AE08E6" w:rsidRPr="00AE08E6" w:rsidRDefault="00AE08E6" w:rsidP="00AE08E6">
      <w:pPr>
        <w:rPr>
          <w:sz w:val="20"/>
          <w:szCs w:val="20"/>
        </w:rPr>
      </w:pPr>
      <w:r w:rsidRPr="00AE08E6">
        <w:rPr>
          <w:sz w:val="20"/>
          <w:szCs w:val="20"/>
        </w:rPr>
        <w:t>e. Cross-party parliamentary embedding</w:t>
      </w:r>
      <w:r w:rsidRPr="00AE08E6">
        <w:rPr>
          <w:sz w:val="20"/>
          <w:szCs w:val="20"/>
        </w:rPr>
        <w:br/>
        <w:t xml:space="preserve"> Evidence: Source 6 (Early Day Motion 2017–19, 31 signatories) documents the first parliamentary tactic. Source 9 (Hansard October 2023) documents the Westminster Hall debate. Source 5 (CAWF) documents Conservative MPs publicly pressuring their own government. Source 4 documents Labour's Agriculture Act 2020 amendment attempt and June 2024 </w:t>
      </w:r>
      <w:r w:rsidRPr="00AE08E6">
        <w:rPr>
          <w:sz w:val="20"/>
          <w:szCs w:val="20"/>
        </w:rPr>
        <w:lastRenderedPageBreak/>
        <w:t>pre-election commitment.</w:t>
      </w:r>
      <w:r w:rsidRPr="00AE08E6">
        <w:rPr>
          <w:sz w:val="20"/>
          <w:szCs w:val="20"/>
        </w:rPr>
        <w:br/>
        <w:t xml:space="preserve"> Confidence: High — parliamentary record directly evidenced across multiple parliaments and mechanisms.</w:t>
      </w:r>
      <w:r w:rsidRPr="00AE08E6">
        <w:rPr>
          <w:sz w:val="20"/>
          <w:szCs w:val="20"/>
        </w:rPr>
        <w:br/>
        <w:t xml:space="preserve"> Source Tag: Sources 4, 5, 6, 9.</w:t>
      </w:r>
    </w:p>
    <w:p w14:paraId="5FAEE220" w14:textId="77777777" w:rsidR="00AE08E6" w:rsidRPr="00AE08E6" w:rsidRDefault="00641196" w:rsidP="00AE08E6">
      <w:pPr>
        <w:rPr>
          <w:sz w:val="20"/>
          <w:szCs w:val="20"/>
        </w:rPr>
      </w:pPr>
      <w:r>
        <w:rPr>
          <w:sz w:val="20"/>
          <w:szCs w:val="20"/>
        </w:rPr>
        <w:pict w14:anchorId="51529B87">
          <v:rect id="_x0000_i1039" style="width:0;height:1.5pt" o:hralign="center" o:hrstd="t" o:hr="t" fillcolor="#a0a0a0" stroked="f"/>
        </w:pict>
      </w:r>
    </w:p>
    <w:p w14:paraId="5325CF33" w14:textId="77777777" w:rsidR="00AE08E6" w:rsidRPr="00AE08E6" w:rsidRDefault="00AE08E6" w:rsidP="00AE08E6">
      <w:pPr>
        <w:rPr>
          <w:sz w:val="20"/>
          <w:szCs w:val="20"/>
        </w:rPr>
      </w:pPr>
      <w:r w:rsidRPr="00AE08E6">
        <w:rPr>
          <w:b/>
          <w:bCs/>
          <w:sz w:val="20"/>
          <w:szCs w:val="20"/>
        </w:rPr>
        <w:t>SOURCE-TO-VARIABLE MAPPING</w:t>
      </w:r>
    </w:p>
    <w:p w14:paraId="6C8AAEBE" w14:textId="77777777" w:rsidR="00AE08E6" w:rsidRPr="00AE08E6" w:rsidRDefault="00AE08E6" w:rsidP="00AE08E6">
      <w:pPr>
        <w:rPr>
          <w:sz w:val="20"/>
          <w:szCs w:val="20"/>
        </w:rPr>
      </w:pPr>
      <w:r w:rsidRPr="00AE08E6">
        <w:rPr>
          <w:sz w:val="20"/>
          <w:szCs w:val="20"/>
        </w:rPr>
        <w:t>Source 1 (Broom &amp; Rochlitz 2017) — 5</w:t>
      </w:r>
      <w:r w:rsidRPr="00AE08E6">
        <w:rPr>
          <w:sz w:val="20"/>
          <w:szCs w:val="20"/>
        </w:rPr>
        <w:br/>
        <w:t xml:space="preserve"> Source 2 (Animal Equality June 2017 launch) — 5, 10, 12, 15b</w:t>
      </w:r>
      <w:r w:rsidRPr="00AE08E6">
        <w:rPr>
          <w:sz w:val="20"/>
          <w:szCs w:val="20"/>
        </w:rPr>
        <w:br/>
        <w:t xml:space="preserve"> Source 3 (Animal Equality policy briefing 2019) — 1, 3, 6, 7, 9, 13, 15a</w:t>
      </w:r>
      <w:r w:rsidRPr="00AE08E6">
        <w:rPr>
          <w:sz w:val="20"/>
          <w:szCs w:val="20"/>
        </w:rPr>
        <w:br/>
        <w:t xml:space="preserve"> Source 4 (Animal Equality campaign page) — 5, 7, 8, 10, 11, 12, 15b, 15c, 15d, 15e</w:t>
      </w:r>
      <w:r w:rsidRPr="00AE08E6">
        <w:rPr>
          <w:sz w:val="20"/>
          <w:szCs w:val="20"/>
        </w:rPr>
        <w:br/>
        <w:t xml:space="preserve"> Source 5 (CAWF) — 2, 3, 4, 8, 15e</w:t>
      </w:r>
      <w:r w:rsidRPr="00AE08E6">
        <w:rPr>
          <w:sz w:val="20"/>
          <w:szCs w:val="20"/>
        </w:rPr>
        <w:br/>
        <w:t xml:space="preserve"> Source 6 (Early Day Motion 2017–19) — 15e</w:t>
      </w:r>
      <w:r w:rsidRPr="00AE08E6">
        <w:rPr>
          <w:sz w:val="20"/>
          <w:szCs w:val="20"/>
        </w:rPr>
        <w:br/>
        <w:t xml:space="preserve"> Source 7 (Connexion France March 2021) — 3, 6, 9</w:t>
      </w:r>
      <w:r w:rsidRPr="00AE08E6">
        <w:rPr>
          <w:sz w:val="20"/>
          <w:szCs w:val="20"/>
        </w:rPr>
        <w:br/>
        <w:t xml:space="preserve"> Source 8 (Connexion France September 2021) — 3, 4</w:t>
      </w:r>
      <w:r w:rsidRPr="00AE08E6">
        <w:rPr>
          <w:sz w:val="20"/>
          <w:szCs w:val="20"/>
        </w:rPr>
        <w:br/>
        <w:t xml:space="preserve"> Source 9 (Hansard October 2023) — 1, 2, 4, 7, 8, 11, 13, 14, 15a, 15c, 15d, 15e</w:t>
      </w:r>
      <w:r w:rsidRPr="00AE08E6">
        <w:rPr>
          <w:sz w:val="20"/>
          <w:szCs w:val="20"/>
        </w:rPr>
        <w:br/>
        <w:t xml:space="preserve"> Source 10 (CAWF written evidence 2023) — 2, 3</w:t>
      </w:r>
      <w:r w:rsidRPr="00AE08E6">
        <w:rPr>
          <w:sz w:val="20"/>
          <w:szCs w:val="20"/>
        </w:rPr>
        <w:br/>
        <w:t xml:space="preserve"> Source 11 (Animal Equality March 2026) — 8, 11, 15d</w:t>
      </w:r>
      <w:r w:rsidRPr="00AE08E6">
        <w:rPr>
          <w:sz w:val="20"/>
          <w:szCs w:val="20"/>
        </w:rPr>
        <w:br/>
        <w:t xml:space="preserve"> Source 12 (Food Manufacture June 2026) — 1, 3, 4, 6, 10, 11, 13, 14</w:t>
      </w:r>
    </w:p>
    <w:p w14:paraId="1F5E9959" w14:textId="77777777" w:rsidR="00AE08E6" w:rsidRPr="00AE08E6" w:rsidRDefault="00641196" w:rsidP="00AE08E6">
      <w:pPr>
        <w:rPr>
          <w:sz w:val="20"/>
          <w:szCs w:val="20"/>
        </w:rPr>
      </w:pPr>
      <w:r>
        <w:rPr>
          <w:sz w:val="20"/>
          <w:szCs w:val="20"/>
        </w:rPr>
        <w:pict w14:anchorId="69256993">
          <v:rect id="_x0000_i1040" style="width:0;height:1.5pt" o:hralign="center" o:hrstd="t" o:hr="t" fillcolor="#a0a0a0" stroked="f"/>
        </w:pict>
      </w:r>
    </w:p>
    <w:p w14:paraId="0B2DBB95" w14:textId="77777777" w:rsidR="00AE08E6" w:rsidRPr="00AE08E6" w:rsidRDefault="00AE08E6" w:rsidP="00AE08E6">
      <w:pPr>
        <w:rPr>
          <w:sz w:val="20"/>
          <w:szCs w:val="20"/>
        </w:rPr>
      </w:pPr>
      <w:r w:rsidRPr="00AE08E6">
        <w:rPr>
          <w:b/>
          <w:bCs/>
          <w:sz w:val="20"/>
          <w:szCs w:val="20"/>
        </w:rPr>
        <w:t>OBSERVATION</w:t>
      </w:r>
    </w:p>
    <w:p w14:paraId="74820B35" w14:textId="77777777" w:rsidR="00AE08E6" w:rsidRPr="00AE08E6" w:rsidRDefault="00AE08E6" w:rsidP="00AE08E6">
      <w:pPr>
        <w:rPr>
          <w:sz w:val="20"/>
          <w:szCs w:val="20"/>
        </w:rPr>
      </w:pPr>
      <w:r w:rsidRPr="00AE08E6">
        <w:rPr>
          <w:sz w:val="20"/>
          <w:szCs w:val="20"/>
        </w:rPr>
        <w:t>Source 4 (Animal Equality campaign page) is the most load-bearing source, contributing to nine variables. This is a structural limitation — the campaign is ongoing, academic literature on this specific UK campaign does not exist, and Animal Equality is effectively the only actor documenting the full campaign arc. This concentration is not a reliability risk in the same sense as a single academic chapter, but the single-actor dominance means the profile reflects the campaign's own framing more than most other cases in this dataset. Sources 7 and 8 (Connexion France) provide the only independent non-campaign documentation of the opposition's position. Source 12 (Food Manufacture June 2026) is the most significant single source for the current state of the campaign — published five days before coding and directly relevant to Variables 10, 11, 13, and 14.</w:t>
      </w:r>
    </w:p>
    <w:p w14:paraId="3D385B95" w14:textId="77777777" w:rsidR="00AE08E6" w:rsidRPr="00AE08E6" w:rsidRDefault="00AE08E6" w:rsidP="00AE08E6">
      <w:pPr>
        <w:rPr>
          <w:sz w:val="20"/>
          <w:szCs w:val="20"/>
        </w:rPr>
      </w:pPr>
      <w:r w:rsidRPr="00AE08E6">
        <w:rPr>
          <w:b/>
          <w:bCs/>
          <w:sz w:val="20"/>
          <w:szCs w:val="20"/>
        </w:rPr>
        <w:t>CASE-LEVEL SUMMARY</w:t>
      </w:r>
    </w:p>
    <w:p w14:paraId="361E2C43" w14:textId="77777777" w:rsidR="00AE08E6" w:rsidRPr="00AE08E6" w:rsidRDefault="00AE08E6" w:rsidP="00AE08E6">
      <w:pPr>
        <w:rPr>
          <w:sz w:val="20"/>
          <w:szCs w:val="20"/>
        </w:rPr>
      </w:pPr>
      <w:r w:rsidRPr="00AE08E6">
        <w:rPr>
          <w:sz w:val="20"/>
          <w:szCs w:val="20"/>
        </w:rPr>
        <w:t>Variables coded at Insufficient: None.</w:t>
      </w:r>
      <w:r w:rsidRPr="00AE08E6">
        <w:rPr>
          <w:sz w:val="20"/>
          <w:szCs w:val="20"/>
        </w:rPr>
        <w:br/>
        <w:t xml:space="preserve"> Variables coded at Medium confidence: Variable 5 (Visibility of harm — campaign-actor dominated), Variable 12 (Public sentiment — campaign-commissioned at-window-open poll, no pre-campaign independent baseline), Variable 14 (Narrative dominance — Mixed/Unresolved, EU trade counter-narrative operationally effective).</w:t>
      </w:r>
      <w:r w:rsidRPr="00AE08E6">
        <w:rPr>
          <w:sz w:val="20"/>
          <w:szCs w:val="20"/>
        </w:rPr>
        <w:br/>
        <w:t xml:space="preserve"> Mixed/Unresolved codings applied: Variables 10, 11, 14 — per open/unresolved campaign rule; codings reflect status as of July 2026.</w:t>
      </w:r>
      <w:r w:rsidRPr="00AE08E6">
        <w:rPr>
          <w:sz w:val="20"/>
          <w:szCs w:val="20"/>
        </w:rPr>
        <w:br/>
        <w:t xml:space="preserve"> Phase 1 exception used: None.</w:t>
      </w:r>
    </w:p>
    <w:p w14:paraId="3E94C49B" w14:textId="77777777" w:rsidR="00AE08E6" w:rsidRPr="00AE08E6" w:rsidRDefault="00AE08E6" w:rsidP="00AE08E6">
      <w:pPr>
        <w:rPr>
          <w:sz w:val="20"/>
          <w:szCs w:val="20"/>
        </w:rPr>
      </w:pPr>
      <w:r w:rsidRPr="00AE08E6">
        <w:rPr>
          <w:b/>
          <w:bCs/>
          <w:sz w:val="20"/>
          <w:szCs w:val="20"/>
        </w:rPr>
        <w:t>OVERALL CASE CONFIDENCE/QUALITY FLAG</w:t>
      </w:r>
      <w:r w:rsidRPr="00AE08E6">
        <w:rPr>
          <w:b/>
          <w:bCs/>
          <w:sz w:val="20"/>
          <w:szCs w:val="20"/>
        </w:rPr>
        <w:br/>
      </w:r>
      <w:r w:rsidRPr="00AE08E6">
        <w:rPr>
          <w:sz w:val="20"/>
          <w:szCs w:val="20"/>
        </w:rPr>
        <w:t xml:space="preserve"> Medium-High. The structural challenge is that this is an ongoing campaign with no academic literature and single-actor dominance in the source set. The legal, political, and opposition landscape variables are well-evidenced from independent sources (Hansard, Connexion France, Food Manufacture). The campaign mechanics variables are adequately evidenced from primary campaign sources. The June 2026 Food Manufacture source substantially strengthens this profile by providing an independent account of the most recent development at the moment of coding.</w:t>
      </w:r>
    </w:p>
    <w:p w14:paraId="05544F3B" w14:textId="77777777" w:rsidR="00AE08E6" w:rsidRPr="00AE08E6" w:rsidRDefault="00AE08E6" w:rsidP="00AE08E6">
      <w:pPr>
        <w:rPr>
          <w:sz w:val="20"/>
          <w:szCs w:val="20"/>
        </w:rPr>
      </w:pPr>
      <w:r w:rsidRPr="00AE08E6">
        <w:rPr>
          <w:b/>
          <w:bCs/>
          <w:sz w:val="20"/>
          <w:szCs w:val="20"/>
        </w:rPr>
        <w:t>HINDSIGHT NOTES</w:t>
      </w:r>
    </w:p>
    <w:p w14:paraId="0E7041F5" w14:textId="77777777" w:rsidR="00AE08E6" w:rsidRPr="00AE08E6" w:rsidRDefault="00AE08E6" w:rsidP="00AE08E6">
      <w:pPr>
        <w:rPr>
          <w:sz w:val="20"/>
          <w:szCs w:val="20"/>
        </w:rPr>
      </w:pPr>
      <w:r w:rsidRPr="00AE08E6">
        <w:rPr>
          <w:sz w:val="20"/>
          <w:szCs w:val="20"/>
        </w:rPr>
        <w:t>Variable 10 and 11 (Speed and Scale) — the June 2026 Labour U-turn is the most significant development to date and may represent a definitive stalling of the campaign for the foreseeable future, pending any EU-UK trade deal renegotiation that includes an animal welfare carve-out. Not resolvable from current data.</w:t>
      </w:r>
      <w:r w:rsidRPr="00AE08E6">
        <w:rPr>
          <w:sz w:val="20"/>
          <w:szCs w:val="20"/>
        </w:rPr>
        <w:br/>
        <w:t xml:space="preserve"> Variable 13 (Legal/regulatory landscape) — the EU food standards alignment dynamic is the key legal development of 2026 and fundamentally changes the legal landscape from "Brexit enables a ban" to "EU reset prevents a ban." This reversal within the campaign window is itself a Notable structural finding about how trade policy can undo advocacy gains.</w:t>
      </w:r>
      <w:r w:rsidRPr="00AE08E6">
        <w:rPr>
          <w:sz w:val="20"/>
          <w:szCs w:val="20"/>
        </w:rPr>
        <w:br/>
      </w:r>
      <w:r w:rsidRPr="00AE08E6">
        <w:rPr>
          <w:sz w:val="20"/>
          <w:szCs w:val="20"/>
        </w:rPr>
        <w:lastRenderedPageBreak/>
        <w:t xml:space="preserve"> Variable 15 — a sixth potential tactic not coded: the voluntary retailer withdrawal strategy (Fortnum &amp; Mason, parliamentary estate discussions, individual restaurant removals) represents a market-pressure parallel track. Excluded from Notable Tactics as it appears to be an opportunistic outcome of investigation and celebrity pressure rather than a deliberately structured tactic, but worth noting for future review.</w:t>
      </w:r>
    </w:p>
    <w:p w14:paraId="62A997EE" w14:textId="50AFFAF6" w:rsidR="005E3E75" w:rsidRDefault="005E3E75" w:rsidP="005E3E75">
      <w:pPr>
        <w:pStyle w:val="Heading1"/>
      </w:pPr>
      <w:r>
        <w:t>CASE 9: Australian marriage equality postal survey</w:t>
      </w:r>
    </w:p>
    <w:p w14:paraId="40FD7897" w14:textId="77777777" w:rsidR="00A550B2" w:rsidRPr="00A550B2" w:rsidRDefault="00A550B2" w:rsidP="00A550B2">
      <w:pPr>
        <w:rPr>
          <w:sz w:val="20"/>
          <w:szCs w:val="20"/>
        </w:rPr>
      </w:pPr>
      <w:r w:rsidRPr="00A550B2">
        <w:rPr>
          <w:b/>
          <w:bCs/>
          <w:sz w:val="20"/>
          <w:szCs w:val="20"/>
        </w:rPr>
        <w:t>LIST B — EVIDENCE / CONFIDENCE / SOURCE TAG</w:t>
      </w:r>
    </w:p>
    <w:p w14:paraId="57081398" w14:textId="77777777" w:rsidR="00A550B2" w:rsidRPr="00A550B2" w:rsidRDefault="00A550B2" w:rsidP="00043AF9">
      <w:pPr>
        <w:numPr>
          <w:ilvl w:val="0"/>
          <w:numId w:val="48"/>
        </w:numPr>
        <w:rPr>
          <w:sz w:val="20"/>
          <w:szCs w:val="20"/>
        </w:rPr>
      </w:pPr>
      <w:r w:rsidRPr="00A550B2">
        <w:rPr>
          <w:sz w:val="20"/>
          <w:szCs w:val="20"/>
        </w:rPr>
        <w:t>Target type</w:t>
      </w:r>
      <w:r w:rsidRPr="00A550B2">
        <w:rPr>
          <w:sz w:val="20"/>
          <w:szCs w:val="20"/>
        </w:rPr>
        <w:br/>
        <w:t xml:space="preserve"> Evidence: Source 1 (NationBuilder/Knobel) confirms the Yes campaign's dual-target architecture — mobilising public participation in the postal survey while ultimately targeting parliamentary action. Source 11 (ABS results) confirms the survey was non-binding, establishing Parliament as the ultimate legislative decision-maker. Source 10 (OECD/OPSI) confirms the survey was directed at all 16 million enrolled voters as the immediate mobilisation target.</w:t>
      </w:r>
      <w:r w:rsidRPr="00A550B2">
        <w:rPr>
          <w:sz w:val="20"/>
          <w:szCs w:val="20"/>
        </w:rPr>
        <w:br/>
        <w:t xml:space="preserve"> Confidence: High — dual-target structure directly and consistently evidenced.</w:t>
      </w:r>
      <w:r w:rsidRPr="00A550B2">
        <w:rPr>
          <w:sz w:val="20"/>
          <w:szCs w:val="20"/>
        </w:rPr>
        <w:br/>
        <w:t xml:space="preserve"> Source Tag: Sources 1, 10, 11.</w:t>
      </w:r>
    </w:p>
    <w:p w14:paraId="6BE486C8" w14:textId="77777777" w:rsidR="00A550B2" w:rsidRPr="00A550B2" w:rsidRDefault="00A550B2" w:rsidP="00043AF9">
      <w:pPr>
        <w:numPr>
          <w:ilvl w:val="0"/>
          <w:numId w:val="48"/>
        </w:numPr>
        <w:rPr>
          <w:sz w:val="20"/>
          <w:szCs w:val="20"/>
        </w:rPr>
      </w:pPr>
      <w:r w:rsidRPr="00A550B2">
        <w:rPr>
          <w:sz w:val="20"/>
          <w:szCs w:val="20"/>
        </w:rPr>
        <w:t>Concentration of decision-making power</w:t>
      </w:r>
      <w:r w:rsidRPr="00A550B2">
        <w:rPr>
          <w:sz w:val="20"/>
          <w:szCs w:val="20"/>
        </w:rPr>
        <w:br/>
        <w:t xml:space="preserve"> Evidence: Source 12 (ABS conduct report) documents the survey's voluntary, non-binding nature — confirming that the ultimate decision remained with Parliament. Source 11 (ABS results) documents the 79.5% participation rate and 61.6% Yes result that then compelled the free vote. Source 8 (Twomey/AusPubLaw) documents the constitutional and legal framework governing the survey, establishing that no single decision-maker controlled the outcome.</w:t>
      </w:r>
      <w:r w:rsidRPr="00A550B2">
        <w:rPr>
          <w:sz w:val="20"/>
          <w:szCs w:val="20"/>
        </w:rPr>
        <w:br/>
        <w:t xml:space="preserve"> Confidence: High — dual concentration (mass public + parliamentary) directly evidenced.</w:t>
      </w:r>
      <w:r w:rsidRPr="00A550B2">
        <w:rPr>
          <w:sz w:val="20"/>
          <w:szCs w:val="20"/>
        </w:rPr>
        <w:br/>
        <w:t xml:space="preserve"> Source Tag: Sources 8, 11, 12.</w:t>
      </w:r>
    </w:p>
    <w:p w14:paraId="39139B52" w14:textId="77777777" w:rsidR="00A550B2" w:rsidRPr="00A550B2" w:rsidRDefault="00A550B2" w:rsidP="00043AF9">
      <w:pPr>
        <w:numPr>
          <w:ilvl w:val="0"/>
          <w:numId w:val="48"/>
        </w:numPr>
        <w:rPr>
          <w:sz w:val="20"/>
          <w:szCs w:val="20"/>
        </w:rPr>
      </w:pPr>
      <w:r w:rsidRPr="00A550B2">
        <w:rPr>
          <w:sz w:val="20"/>
          <w:szCs w:val="20"/>
        </w:rPr>
        <w:t>Strength of opposition</w:t>
      </w:r>
      <w:r w:rsidRPr="00A550B2">
        <w:rPr>
          <w:sz w:val="20"/>
          <w:szCs w:val="20"/>
        </w:rPr>
        <w:br/>
        <w:t xml:space="preserve"> Evidence: Source 3 (BuzzFeed/Taylor) documents the Coalition for Marriage's composition — church officials and established anti-marriage-equality advocacy organisations with decades of institutional infrastructure. Source 7 (Catholic Weekly) documents the No campaign's own framing of its strength ("looks fearless in the final stretch"). Source 6 (HRLC) documents the High Court legal challenge as evidence of the opposition's institutional capacity and legal resources.</w:t>
      </w:r>
      <w:r w:rsidRPr="00A550B2">
        <w:rPr>
          <w:sz w:val="20"/>
          <w:szCs w:val="20"/>
        </w:rPr>
        <w:br/>
        <w:t xml:space="preserve"> Confidence: High — opposition strength, composition, and institutional capacity directly evidenced.</w:t>
      </w:r>
      <w:r w:rsidRPr="00A550B2">
        <w:rPr>
          <w:sz w:val="20"/>
          <w:szCs w:val="20"/>
        </w:rPr>
        <w:br/>
        <w:t xml:space="preserve"> Source Tag: Sources 3, 6, 7.</w:t>
      </w:r>
    </w:p>
    <w:p w14:paraId="403A6B96" w14:textId="77777777" w:rsidR="00A550B2" w:rsidRPr="00A550B2" w:rsidRDefault="00A550B2" w:rsidP="00043AF9">
      <w:pPr>
        <w:numPr>
          <w:ilvl w:val="0"/>
          <w:numId w:val="48"/>
        </w:numPr>
        <w:rPr>
          <w:sz w:val="20"/>
          <w:szCs w:val="20"/>
        </w:rPr>
      </w:pPr>
      <w:r w:rsidRPr="00A550B2">
        <w:rPr>
          <w:sz w:val="20"/>
          <w:szCs w:val="20"/>
        </w:rPr>
        <w:t>Type of opposition</w:t>
      </w:r>
      <w:r w:rsidRPr="00A550B2">
        <w:rPr>
          <w:sz w:val="20"/>
          <w:szCs w:val="20"/>
        </w:rPr>
        <w:br/>
        <w:t xml:space="preserve"> Evidence: Source 3 (BuzzFeed) documents the Coalition for Marriage's multi-form campaign infrastructure. Source 7 (Catholic Weekly) documents the religious institutional mobilisation. Source 5 (Justice and Equity Centre) documents the legal challenge opposition track from the No side's perspective. Source 8 (Twomey) documents the High Court challenge in legal detail.</w:t>
      </w:r>
      <w:r w:rsidRPr="00A550B2">
        <w:rPr>
          <w:sz w:val="20"/>
          <w:szCs w:val="20"/>
        </w:rPr>
        <w:br/>
        <w:t xml:space="preserve"> Confidence: High — multiple distinct opposition forms directly evidenced.</w:t>
      </w:r>
      <w:r w:rsidRPr="00A550B2">
        <w:rPr>
          <w:sz w:val="20"/>
          <w:szCs w:val="20"/>
        </w:rPr>
        <w:br/>
        <w:t xml:space="preserve"> Source Tag: Sources 3, 5, 6, 7, 8.</w:t>
      </w:r>
    </w:p>
    <w:p w14:paraId="1C3E2852" w14:textId="77777777" w:rsidR="00A550B2" w:rsidRPr="00A550B2" w:rsidRDefault="00A550B2" w:rsidP="00043AF9">
      <w:pPr>
        <w:numPr>
          <w:ilvl w:val="0"/>
          <w:numId w:val="48"/>
        </w:numPr>
        <w:rPr>
          <w:sz w:val="20"/>
          <w:szCs w:val="20"/>
        </w:rPr>
      </w:pPr>
      <w:r w:rsidRPr="00A550B2">
        <w:rPr>
          <w:sz w:val="20"/>
          <w:szCs w:val="20"/>
        </w:rPr>
        <w:t>Visibility of harm to the public</w:t>
      </w:r>
      <w:r w:rsidRPr="00A550B2">
        <w:rPr>
          <w:sz w:val="20"/>
          <w:szCs w:val="20"/>
        </w:rPr>
        <w:br/>
        <w:t xml:space="preserve"> Evidence: Source 2 (ACON/CSRH 2016) explicitly states that "very little research into the health impacts of marriage equality has been undertaken in Australia" and that the public needed to be presented with evidence — directly evidencing low pre-existing visibility of harm among the general public. Source 9 (Ecker et al.) documents the psychological distress experienced by LGBTIQ people during the survey debate, corroborating that harm was real but not widely visible pre-campaign.</w:t>
      </w:r>
      <w:r w:rsidRPr="00A550B2">
        <w:rPr>
          <w:sz w:val="20"/>
          <w:szCs w:val="20"/>
        </w:rPr>
        <w:br/>
        <w:t xml:space="preserve"> Confidence: High — low pre-campaign visibility directly stated in Source 2; harm evidence from Source 9.</w:t>
      </w:r>
      <w:r w:rsidRPr="00A550B2">
        <w:rPr>
          <w:sz w:val="20"/>
          <w:szCs w:val="20"/>
        </w:rPr>
        <w:br/>
        <w:t xml:space="preserve"> Source Tag: Sources 2, 9.</w:t>
      </w:r>
    </w:p>
    <w:p w14:paraId="179D8890" w14:textId="77777777" w:rsidR="00A550B2" w:rsidRPr="00A550B2" w:rsidRDefault="00A550B2" w:rsidP="00043AF9">
      <w:pPr>
        <w:numPr>
          <w:ilvl w:val="0"/>
          <w:numId w:val="48"/>
        </w:numPr>
        <w:rPr>
          <w:sz w:val="20"/>
          <w:szCs w:val="20"/>
        </w:rPr>
      </w:pPr>
      <w:r w:rsidRPr="00A550B2">
        <w:rPr>
          <w:sz w:val="20"/>
          <w:szCs w:val="20"/>
        </w:rPr>
        <w:t>Degree of behaviour change required</w:t>
      </w:r>
      <w:r w:rsidRPr="00A550B2">
        <w:rPr>
          <w:sz w:val="20"/>
          <w:szCs w:val="20"/>
        </w:rPr>
        <w:br/>
        <w:t xml:space="preserve"> Evidence: Source 1 (NationBuilder/Knobel) documents the campaign's explicit strategy of maximising postal survey participation — confirming the core behavioural ask was survey return. Source 10 (OECD/OPSI) </w:t>
      </w:r>
      <w:r w:rsidRPr="00A550B2">
        <w:rPr>
          <w:sz w:val="20"/>
          <w:szCs w:val="20"/>
        </w:rPr>
        <w:lastRenderedPageBreak/>
        <w:t>documents the ABS's "citizen-centric" strategies to maximise participation, confirming the challenge of mobilising a voluntary population. Source 12 (ABS conduct report) documents the range of accessibility measures required to enable participation across diverse groups.</w:t>
      </w:r>
      <w:r w:rsidRPr="00A550B2">
        <w:rPr>
          <w:sz w:val="20"/>
          <w:szCs w:val="20"/>
        </w:rPr>
        <w:br/>
        <w:t xml:space="preserve"> Confidence: High — the nature and scale of the behavioural mobilisation challenge directly evidenced.</w:t>
      </w:r>
      <w:r w:rsidRPr="00A550B2">
        <w:rPr>
          <w:sz w:val="20"/>
          <w:szCs w:val="20"/>
        </w:rPr>
        <w:br/>
        <w:t xml:space="preserve"> Source Tag: Sources 1, 10, 12.</w:t>
      </w:r>
    </w:p>
    <w:p w14:paraId="118CCDB0" w14:textId="77777777" w:rsidR="00A550B2" w:rsidRPr="00A550B2" w:rsidRDefault="00A550B2" w:rsidP="00043AF9">
      <w:pPr>
        <w:numPr>
          <w:ilvl w:val="0"/>
          <w:numId w:val="48"/>
        </w:numPr>
        <w:rPr>
          <w:sz w:val="20"/>
          <w:szCs w:val="20"/>
        </w:rPr>
      </w:pPr>
      <w:r w:rsidRPr="00A550B2">
        <w:rPr>
          <w:sz w:val="20"/>
          <w:szCs w:val="20"/>
        </w:rPr>
        <w:t>Role of policy vs market pressure vs cultural shift</w:t>
      </w:r>
      <w:r w:rsidRPr="00A550B2">
        <w:rPr>
          <w:sz w:val="20"/>
          <w:szCs w:val="20"/>
        </w:rPr>
        <w:br/>
        <w:t xml:space="preserve"> Evidence: Source 1 (NationBuilder/Knobel) documents the Yes campaign's dual strategy of public mobilisation and parliamentary pressure. Source 11 (ABS results) and Source 12 confirm that the survey result, while non-binding, created the political conditions for the parliamentary free vote. Source 10 (OECD/OPSI) confirms the policy mechanism was the Marriage Act amendment following the survey.</w:t>
      </w:r>
      <w:r w:rsidRPr="00A550B2">
        <w:rPr>
          <w:sz w:val="20"/>
          <w:szCs w:val="20"/>
        </w:rPr>
        <w:br/>
        <w:t xml:space="preserve"> Confidence: High — tiered mechanism (cultural shift enabling policy change) directly evidenced.</w:t>
      </w:r>
      <w:r w:rsidRPr="00A550B2">
        <w:rPr>
          <w:sz w:val="20"/>
          <w:szCs w:val="20"/>
        </w:rPr>
        <w:br/>
        <w:t xml:space="preserve"> Source Tag: Sources 1, 10, 11, 12.</w:t>
      </w:r>
    </w:p>
    <w:p w14:paraId="61BB9674" w14:textId="77777777" w:rsidR="00A550B2" w:rsidRPr="00A550B2" w:rsidRDefault="00A550B2" w:rsidP="00043AF9">
      <w:pPr>
        <w:numPr>
          <w:ilvl w:val="0"/>
          <w:numId w:val="48"/>
        </w:numPr>
        <w:rPr>
          <w:sz w:val="20"/>
          <w:szCs w:val="20"/>
        </w:rPr>
      </w:pPr>
      <w:r w:rsidRPr="00A550B2">
        <w:rPr>
          <w:sz w:val="20"/>
          <w:szCs w:val="20"/>
        </w:rPr>
        <w:t>Coalition size, type, and presence of non-obvious allies</w:t>
      </w:r>
      <w:r w:rsidRPr="00A550B2">
        <w:rPr>
          <w:sz w:val="20"/>
          <w:szCs w:val="20"/>
        </w:rPr>
        <w:br/>
        <w:t xml:space="preserve"> Evidence: Source 1 (NationBuilder/Knobel) documents the campaign's broad coalition and volunteer infrastructure. Source 3 (BuzzFeed) implicitly evidences the Yes coalition's breadth by contrast with the No campaign's narrower religious composition. Source 9 (Ecker et al.) documents the institutional coalition including the Australian Psychological Society's formal opposition to the survey. Source 10 (OECD/OPSI) references the ACT Government and corporate sector engagement as non-obvious institutional allies.</w:t>
      </w:r>
      <w:r w:rsidRPr="00A550B2">
        <w:rPr>
          <w:sz w:val="20"/>
          <w:szCs w:val="20"/>
        </w:rPr>
        <w:br/>
        <w:t xml:space="preserve"> Confidence: Medium — coalition breadth confirmed but detailed enumeration of non-obvious corporate allies not fully documented in the locked source set; ACT Government and corporate sector referenced but not exhaustively listed.</w:t>
      </w:r>
      <w:r w:rsidRPr="00A550B2">
        <w:rPr>
          <w:sz w:val="20"/>
          <w:szCs w:val="20"/>
        </w:rPr>
        <w:br/>
        <w:t xml:space="preserve"> Source Tag: Sources 1, 3, 9, 10.</w:t>
      </w:r>
    </w:p>
    <w:p w14:paraId="7487BED9" w14:textId="77777777" w:rsidR="00A550B2" w:rsidRPr="00A550B2" w:rsidRDefault="00A550B2" w:rsidP="00043AF9">
      <w:pPr>
        <w:numPr>
          <w:ilvl w:val="0"/>
          <w:numId w:val="48"/>
        </w:numPr>
        <w:rPr>
          <w:sz w:val="20"/>
          <w:szCs w:val="20"/>
        </w:rPr>
      </w:pPr>
      <w:r w:rsidRPr="00A550B2">
        <w:rPr>
          <w:sz w:val="20"/>
          <w:szCs w:val="20"/>
        </w:rPr>
        <w:t>Economic disruption required</w:t>
      </w:r>
      <w:r w:rsidRPr="00A550B2">
        <w:rPr>
          <w:sz w:val="20"/>
          <w:szCs w:val="20"/>
        </w:rPr>
        <w:br/>
        <w:t xml:space="preserve"> Evidence: No locked source documents economic disruption as a campaign variable. The OECD/OPSI case study (Source 10) frames the survey's cost at $122M (2/3 of projected budget) — a government administrative cost, not an industry disruption cost. Source 2 (ACON/CSRH) frames marriage equality as producing economic benefits via healthcare cost reduction. Absence of any economic disruption documentation is itself evidential.</w:t>
      </w:r>
      <w:r w:rsidRPr="00A550B2">
        <w:rPr>
          <w:sz w:val="20"/>
          <w:szCs w:val="20"/>
        </w:rPr>
        <w:br/>
        <w:t xml:space="preserve"> Confidence: High — no economic disruption was required; this is directly evidenced by the complete absence of any disruption framing across all locked sources.</w:t>
      </w:r>
      <w:r w:rsidRPr="00A550B2">
        <w:rPr>
          <w:sz w:val="20"/>
          <w:szCs w:val="20"/>
        </w:rPr>
        <w:br/>
        <w:t xml:space="preserve"> Source Tag: Sources 2, 10.</w:t>
      </w:r>
    </w:p>
    <w:p w14:paraId="16B17B74" w14:textId="77777777" w:rsidR="00A550B2" w:rsidRPr="00A550B2" w:rsidRDefault="00A550B2" w:rsidP="00043AF9">
      <w:pPr>
        <w:numPr>
          <w:ilvl w:val="0"/>
          <w:numId w:val="48"/>
        </w:numPr>
        <w:rPr>
          <w:sz w:val="20"/>
          <w:szCs w:val="20"/>
        </w:rPr>
      </w:pPr>
      <w:r w:rsidRPr="00A550B2">
        <w:rPr>
          <w:sz w:val="20"/>
          <w:szCs w:val="20"/>
        </w:rPr>
        <w:t>Speed of change achieved</w:t>
      </w:r>
      <w:r w:rsidRPr="00A550B2">
        <w:rPr>
          <w:sz w:val="20"/>
          <w:szCs w:val="20"/>
        </w:rPr>
        <w:br/>
        <w:t xml:space="preserve"> Evidence: Source 10 (OECD/OPSI) documents the 99-day ABS delivery timeline from announcement to result. Source 11 (ABS results, 15 November 2017) and the campaign window end date (7 December 2017 royal assent) confirm the four-month total window. Source 12 (ABS conduct report) documents the operational speed of the survey delivery.</w:t>
      </w:r>
      <w:r w:rsidRPr="00A550B2">
        <w:rPr>
          <w:sz w:val="20"/>
          <w:szCs w:val="20"/>
        </w:rPr>
        <w:br/>
        <w:t xml:space="preserve"> Confidence: High — precisely dated across multiple primary sources.</w:t>
      </w:r>
      <w:r w:rsidRPr="00A550B2">
        <w:rPr>
          <w:sz w:val="20"/>
          <w:szCs w:val="20"/>
        </w:rPr>
        <w:br/>
        <w:t xml:space="preserve"> Source Tag: Sources 10, 11, 12.</w:t>
      </w:r>
    </w:p>
    <w:p w14:paraId="31D9C4EB" w14:textId="77777777" w:rsidR="00A550B2" w:rsidRPr="00A550B2" w:rsidRDefault="00A550B2" w:rsidP="00043AF9">
      <w:pPr>
        <w:numPr>
          <w:ilvl w:val="0"/>
          <w:numId w:val="48"/>
        </w:numPr>
        <w:rPr>
          <w:sz w:val="20"/>
          <w:szCs w:val="20"/>
        </w:rPr>
      </w:pPr>
      <w:r w:rsidRPr="00A550B2">
        <w:rPr>
          <w:sz w:val="20"/>
          <w:szCs w:val="20"/>
        </w:rPr>
        <w:t>Scale of change achieved</w:t>
      </w:r>
      <w:r w:rsidRPr="00A550B2">
        <w:rPr>
          <w:sz w:val="20"/>
          <w:szCs w:val="20"/>
        </w:rPr>
        <w:br/>
        <w:t xml:space="preserve"> Evidence: Source 11 (ABS results) documents 79.5% participation rate and 61.6% Yes result — national scale, uniform application. Source 10 (OECD/OPSI) documents the world-leading participation rate (30% above the Irish marriage equality referendum) and the legislation's passage. Source 12 (ABS conduct report) confirms complete national coverage including accessibility provisions for remote, homeless, and overseas populations.</w:t>
      </w:r>
      <w:r w:rsidRPr="00A550B2">
        <w:rPr>
          <w:sz w:val="20"/>
          <w:szCs w:val="20"/>
        </w:rPr>
        <w:br/>
        <w:t xml:space="preserve"> Confidence: High — national scale and world-leading participation directly and multiply evidenced.</w:t>
      </w:r>
      <w:r w:rsidRPr="00A550B2">
        <w:rPr>
          <w:sz w:val="20"/>
          <w:szCs w:val="20"/>
        </w:rPr>
        <w:br/>
        <w:t xml:space="preserve"> Source Tag: Sources 10, 11, 12.</w:t>
      </w:r>
    </w:p>
    <w:p w14:paraId="0A64328E" w14:textId="77777777" w:rsidR="00A550B2" w:rsidRPr="00A550B2" w:rsidRDefault="00A550B2" w:rsidP="00043AF9">
      <w:pPr>
        <w:numPr>
          <w:ilvl w:val="0"/>
          <w:numId w:val="48"/>
        </w:numPr>
        <w:rPr>
          <w:sz w:val="20"/>
          <w:szCs w:val="20"/>
        </w:rPr>
      </w:pPr>
      <w:r w:rsidRPr="00A550B2">
        <w:rPr>
          <w:sz w:val="20"/>
          <w:szCs w:val="20"/>
        </w:rPr>
        <w:t>Public sentiment starting point</w:t>
      </w:r>
      <w:r w:rsidRPr="00A550B2">
        <w:rPr>
          <w:sz w:val="20"/>
          <w:szCs w:val="20"/>
        </w:rPr>
        <w:br/>
        <w:t xml:space="preserve"> Evidence: HILDA Survey longitudinal data (Perales &amp; Campbell, AIFS 2018 — Category B) found 66% of Australians supported equal rights for same-sex couples in 2015, up from 39.8% in 2005 — the closest nationally representative pre-campaign longitudinal baseline, confirmed via direct fetch. July 2017 Essential Media poll (directly pre-window, Category B) found 63% support, 25% opposed. March 2016 Essential Media found 64% support, 26% opposed. Source 2 (ACON/CSRH 2016, locked) frames the pre-existing sympathetic public environment as the context the campaign was entering, confirming campaign actors' own reading of latent </w:t>
      </w:r>
      <w:r w:rsidRPr="00A550B2">
        <w:rPr>
          <w:sz w:val="20"/>
          <w:szCs w:val="20"/>
        </w:rPr>
        <w:lastRenderedPageBreak/>
        <w:t>majority support. Source 1 (NationBuilder/Knobel) confirms the campaign's strategy was to activate latent support rather than build it from scratch.</w:t>
      </w:r>
      <w:r w:rsidRPr="00A550B2">
        <w:rPr>
          <w:sz w:val="20"/>
          <w:szCs w:val="20"/>
        </w:rPr>
        <w:br/>
        <w:t xml:space="preserve"> Confidence: High — multiple independent pre-window sources across longitudinal survey data, commercial polling, and campaign-actor assessment converge tightly on 63–66% support.</w:t>
      </w:r>
      <w:r w:rsidRPr="00A550B2">
        <w:rPr>
          <w:sz w:val="20"/>
          <w:szCs w:val="20"/>
        </w:rPr>
        <w:br/>
        <w:t xml:space="preserve"> Source Tag: Sources 1, 2; Category B (AIFS/HILDA 2015; Essential Media July 2017).</w:t>
      </w:r>
    </w:p>
    <w:p w14:paraId="40F43A7E" w14:textId="77777777" w:rsidR="00A550B2" w:rsidRPr="00A550B2" w:rsidRDefault="00A550B2" w:rsidP="00043AF9">
      <w:pPr>
        <w:numPr>
          <w:ilvl w:val="0"/>
          <w:numId w:val="48"/>
        </w:numPr>
        <w:rPr>
          <w:sz w:val="20"/>
          <w:szCs w:val="20"/>
        </w:rPr>
      </w:pPr>
      <w:r w:rsidRPr="00A550B2">
        <w:rPr>
          <w:sz w:val="20"/>
          <w:szCs w:val="20"/>
        </w:rPr>
        <w:t>Legal/regulatory landscape</w:t>
      </w:r>
      <w:r w:rsidRPr="00A550B2">
        <w:rPr>
          <w:sz w:val="20"/>
          <w:szCs w:val="20"/>
        </w:rPr>
        <w:br/>
        <w:t xml:space="preserve"> Evidence: Source 8 (Twomey/AusPubLaw) documents the constitutional framework and the legal basis for the survey under the Appropriations Act and ABS Act. Source 6 (HRLC) documents the High Court challenge and its dismissal (7 September 2017). Source 5 (Justice and Equity Centre) documents the legal contestation from the Yes-aligned opposition to the survey process itself. Sources 11 and 12 confirm the survey proceeded lawfully following the High Court's orders.</w:t>
      </w:r>
      <w:r w:rsidRPr="00A550B2">
        <w:rPr>
          <w:sz w:val="20"/>
          <w:szCs w:val="20"/>
        </w:rPr>
        <w:br/>
        <w:t xml:space="preserve"> Confidence: High — legal landscape directly and specifically evidenced across multiple sources.</w:t>
      </w:r>
      <w:r w:rsidRPr="00A550B2">
        <w:rPr>
          <w:sz w:val="20"/>
          <w:szCs w:val="20"/>
        </w:rPr>
        <w:br/>
        <w:t xml:space="preserve"> Source Tag: Sources 5, 6, 8, 11, 12.</w:t>
      </w:r>
    </w:p>
    <w:p w14:paraId="7474C37F" w14:textId="77777777" w:rsidR="00A550B2" w:rsidRPr="00A550B2" w:rsidRDefault="00A550B2" w:rsidP="00043AF9">
      <w:pPr>
        <w:numPr>
          <w:ilvl w:val="0"/>
          <w:numId w:val="48"/>
        </w:numPr>
        <w:rPr>
          <w:sz w:val="20"/>
          <w:szCs w:val="20"/>
        </w:rPr>
      </w:pPr>
      <w:r w:rsidRPr="00A550B2">
        <w:rPr>
          <w:sz w:val="20"/>
          <w:szCs w:val="20"/>
        </w:rPr>
        <w:t>Narrative dominance</w:t>
      </w:r>
      <w:r w:rsidRPr="00A550B2">
        <w:rPr>
          <w:sz w:val="20"/>
          <w:szCs w:val="20"/>
        </w:rPr>
        <w:br/>
        <w:t xml:space="preserve"> Evidence: Source 1 (NationBuilder/Knobel) documents the Yes campaign's narrative strategy and its reach. Source 3 (BuzzFeed) documents the No campaign's framing and composition. Source 7 (Catholic Weekly) documents the No campaign's own confidence in its narrative. Source 9 (Ecker et al.) documents the psychological impact of the competing narratives on LGBTIQ people — confirming the No campaign's narrative was sufficiently present to cause measurable harm, while the eventual 61.6% Yes result confirms the Yes framing ultimately prevailed.</w:t>
      </w:r>
      <w:r w:rsidRPr="00A550B2">
        <w:rPr>
          <w:sz w:val="20"/>
          <w:szCs w:val="20"/>
        </w:rPr>
        <w:br/>
        <w:t xml:space="preserve"> Confidence: High — narrative contest directly evidenced from both sides; outcome confirms Yes narrative dominance in the decisive arena.</w:t>
      </w:r>
      <w:r w:rsidRPr="00A550B2">
        <w:rPr>
          <w:sz w:val="20"/>
          <w:szCs w:val="20"/>
        </w:rPr>
        <w:br/>
        <w:t xml:space="preserve"> Source Tag: Sources 1, 3, 7, 9.</w:t>
      </w:r>
    </w:p>
    <w:p w14:paraId="3E7CC32B" w14:textId="77777777" w:rsidR="00A550B2" w:rsidRPr="00A550B2" w:rsidRDefault="00A550B2" w:rsidP="00043AF9">
      <w:pPr>
        <w:numPr>
          <w:ilvl w:val="0"/>
          <w:numId w:val="48"/>
        </w:numPr>
        <w:rPr>
          <w:sz w:val="20"/>
          <w:szCs w:val="20"/>
        </w:rPr>
      </w:pPr>
      <w:r w:rsidRPr="00A550B2">
        <w:rPr>
          <w:sz w:val="20"/>
          <w:szCs w:val="20"/>
        </w:rPr>
        <w:t>Notable Tactics</w:t>
      </w:r>
    </w:p>
    <w:p w14:paraId="53580EFA" w14:textId="77777777" w:rsidR="00A550B2" w:rsidRPr="00A550B2" w:rsidRDefault="00A550B2" w:rsidP="00A550B2">
      <w:pPr>
        <w:rPr>
          <w:sz w:val="20"/>
          <w:szCs w:val="20"/>
        </w:rPr>
      </w:pPr>
      <w:r w:rsidRPr="00A550B2">
        <w:rPr>
          <w:sz w:val="20"/>
          <w:szCs w:val="20"/>
        </w:rPr>
        <w:t>a. Corporate sector mobilisation as public legitimacy signal</w:t>
      </w:r>
      <w:r w:rsidRPr="00A550B2">
        <w:rPr>
          <w:sz w:val="20"/>
          <w:szCs w:val="20"/>
        </w:rPr>
        <w:br/>
        <w:t xml:space="preserve"> Evidence: Source 1 (NationBuilder/Knobel) documents the role of corporate allies in the Yes campaign's legitimacy strategy. Source 10 (OECD/OPSI) references corporate sector engagement as a campaign feature.</w:t>
      </w:r>
      <w:r w:rsidRPr="00A550B2">
        <w:rPr>
          <w:sz w:val="20"/>
          <w:szCs w:val="20"/>
        </w:rPr>
        <w:br/>
        <w:t xml:space="preserve"> Confidence: Medium — corporate mobilisation confirmed as a campaign feature; specific companies named in the source set are limited (Qantas, ANZ referenced in broader campaign literature but not fully documented in the locked set).</w:t>
      </w:r>
      <w:r w:rsidRPr="00A550B2">
        <w:rPr>
          <w:sz w:val="20"/>
          <w:szCs w:val="20"/>
        </w:rPr>
        <w:br/>
        <w:t xml:space="preserve"> Source Tag: Sources 1, 10.</w:t>
      </w:r>
    </w:p>
    <w:p w14:paraId="74437C29" w14:textId="77777777" w:rsidR="00A550B2" w:rsidRPr="00A550B2" w:rsidRDefault="00A550B2" w:rsidP="00A550B2">
      <w:pPr>
        <w:rPr>
          <w:sz w:val="20"/>
          <w:szCs w:val="20"/>
        </w:rPr>
      </w:pPr>
      <w:r w:rsidRPr="00A550B2">
        <w:rPr>
          <w:sz w:val="20"/>
          <w:szCs w:val="20"/>
        </w:rPr>
        <w:t>b. Framing the survey as a simple postal act</w:t>
      </w:r>
      <w:r w:rsidRPr="00A550B2">
        <w:rPr>
          <w:sz w:val="20"/>
          <w:szCs w:val="20"/>
        </w:rPr>
        <w:br/>
        <w:t xml:space="preserve"> Evidence: Source 1 (NationBuilder/Knobel) explicitly documents the campaign's strategy of normalising participation and reducing the perceived complexity of the postal survey act.</w:t>
      </w:r>
      <w:r w:rsidRPr="00A550B2">
        <w:rPr>
          <w:sz w:val="20"/>
          <w:szCs w:val="20"/>
        </w:rPr>
        <w:br/>
        <w:t xml:space="preserve"> Confidence: High — directly and specifically evidenced in the primary campaign strategy document.</w:t>
      </w:r>
      <w:r w:rsidRPr="00A550B2">
        <w:rPr>
          <w:sz w:val="20"/>
          <w:szCs w:val="20"/>
        </w:rPr>
        <w:br/>
        <w:t xml:space="preserve"> Source Tag: Source 1.</w:t>
      </w:r>
    </w:p>
    <w:p w14:paraId="5BFF2DF3" w14:textId="77777777" w:rsidR="00A550B2" w:rsidRPr="00A550B2" w:rsidRDefault="00A550B2" w:rsidP="00A550B2">
      <w:pPr>
        <w:rPr>
          <w:sz w:val="20"/>
          <w:szCs w:val="20"/>
        </w:rPr>
      </w:pPr>
      <w:r w:rsidRPr="00A550B2">
        <w:rPr>
          <w:sz w:val="20"/>
          <w:szCs w:val="20"/>
        </w:rPr>
        <w:t>c. Digital-first field organising via NationBuilder</w:t>
      </w:r>
      <w:r w:rsidRPr="00A550B2">
        <w:rPr>
          <w:sz w:val="20"/>
          <w:szCs w:val="20"/>
        </w:rPr>
        <w:br/>
        <w:t xml:space="preserve"> Evidence: Source 1 (NationBuilder/Knobel) is itself the primary artifact of this tactic — a detailed account of the campaign's NationBuilder-powered volunteer mobilisation infrastructure, decentralised organising model, and digital-to-doorstep conversion strategy.</w:t>
      </w:r>
      <w:r w:rsidRPr="00A550B2">
        <w:rPr>
          <w:sz w:val="20"/>
          <w:szCs w:val="20"/>
        </w:rPr>
        <w:br/>
        <w:t xml:space="preserve"> Confidence: High — primary campaign actor's own account, directly verified.</w:t>
      </w:r>
      <w:r w:rsidRPr="00A550B2">
        <w:rPr>
          <w:sz w:val="20"/>
          <w:szCs w:val="20"/>
        </w:rPr>
        <w:br/>
        <w:t xml:space="preserve"> Source Tag: Source 1.</w:t>
      </w:r>
    </w:p>
    <w:p w14:paraId="6792A342" w14:textId="77777777" w:rsidR="00A550B2" w:rsidRPr="00A550B2" w:rsidRDefault="00A550B2" w:rsidP="00A550B2">
      <w:pPr>
        <w:rPr>
          <w:sz w:val="20"/>
          <w:szCs w:val="20"/>
        </w:rPr>
      </w:pPr>
      <w:r w:rsidRPr="00A550B2">
        <w:rPr>
          <w:sz w:val="20"/>
          <w:szCs w:val="20"/>
        </w:rPr>
        <w:t>d. Health evidence pre-positioning</w:t>
      </w:r>
      <w:r w:rsidRPr="00A550B2">
        <w:rPr>
          <w:sz w:val="20"/>
          <w:szCs w:val="20"/>
        </w:rPr>
        <w:br/>
        <w:t xml:space="preserve"> Evidence: Source 2 (ACON/CSRH 2016) is itself the primary artifact of this tactic — an evidence review explicitly prepared to arm the campaign and health sector with peer-reviewed material ahead of the debate, submitted to the Senate inquiry on postal survey arrangements.</w:t>
      </w:r>
      <w:r w:rsidRPr="00A550B2">
        <w:rPr>
          <w:sz w:val="20"/>
          <w:szCs w:val="20"/>
        </w:rPr>
        <w:br/>
        <w:t xml:space="preserve"> Confidence: High — document is the direct artifact of the tactic, verified via project file upload.</w:t>
      </w:r>
      <w:r w:rsidRPr="00A550B2">
        <w:rPr>
          <w:sz w:val="20"/>
          <w:szCs w:val="20"/>
        </w:rPr>
        <w:br/>
        <w:t xml:space="preserve"> Source Tag: Source 2.</w:t>
      </w:r>
    </w:p>
    <w:p w14:paraId="7F8E0EF6" w14:textId="77777777" w:rsidR="00A550B2" w:rsidRPr="00A550B2" w:rsidRDefault="00A550B2" w:rsidP="00A550B2">
      <w:pPr>
        <w:rPr>
          <w:sz w:val="20"/>
          <w:szCs w:val="20"/>
        </w:rPr>
      </w:pPr>
      <w:r w:rsidRPr="00A550B2">
        <w:rPr>
          <w:sz w:val="20"/>
          <w:szCs w:val="20"/>
        </w:rPr>
        <w:t>e. Legal challenge as legitimacy-building</w:t>
      </w:r>
      <w:r w:rsidRPr="00A550B2">
        <w:rPr>
          <w:sz w:val="20"/>
          <w:szCs w:val="20"/>
        </w:rPr>
        <w:br/>
        <w:t xml:space="preserve"> Evidence: Source 5 (Justice and Equity Centre) and Source 6 (HRLC) document the High Court challenge mounted by Yes-aligned legal organisations against the postal survey's legality. Source 8 (Twomey) documents the challenge's legal </w:t>
      </w:r>
      <w:r w:rsidRPr="00A550B2">
        <w:rPr>
          <w:sz w:val="20"/>
          <w:szCs w:val="20"/>
        </w:rPr>
        <w:lastRenderedPageBreak/>
        <w:t>substance and outcome. The challenge was unsuccessful but generated significant media coverage and institutional credibility.</w:t>
      </w:r>
      <w:r w:rsidRPr="00A550B2">
        <w:rPr>
          <w:sz w:val="20"/>
          <w:szCs w:val="20"/>
        </w:rPr>
        <w:br/>
        <w:t xml:space="preserve"> Confidence: High — legal challenge directly evidenced across three independent sources.</w:t>
      </w:r>
      <w:r w:rsidRPr="00A550B2">
        <w:rPr>
          <w:sz w:val="20"/>
          <w:szCs w:val="20"/>
        </w:rPr>
        <w:br/>
        <w:t xml:space="preserve"> Source Tag: Sources 5, 6, 8.</w:t>
      </w:r>
    </w:p>
    <w:p w14:paraId="07E0FA77" w14:textId="77777777" w:rsidR="00A550B2" w:rsidRPr="00A550B2" w:rsidRDefault="00641196" w:rsidP="00A550B2">
      <w:pPr>
        <w:rPr>
          <w:sz w:val="20"/>
          <w:szCs w:val="20"/>
        </w:rPr>
      </w:pPr>
      <w:r>
        <w:rPr>
          <w:sz w:val="20"/>
          <w:szCs w:val="20"/>
        </w:rPr>
        <w:pict w14:anchorId="22A07FE1">
          <v:rect id="_x0000_i1041" style="width:0;height:1.5pt" o:hralign="center" o:hrstd="t" o:hr="t" fillcolor="#a0a0a0" stroked="f"/>
        </w:pict>
      </w:r>
    </w:p>
    <w:p w14:paraId="5CF56DE3" w14:textId="77777777" w:rsidR="00A550B2" w:rsidRPr="00A550B2" w:rsidRDefault="00A550B2" w:rsidP="00A550B2">
      <w:pPr>
        <w:rPr>
          <w:sz w:val="20"/>
          <w:szCs w:val="20"/>
        </w:rPr>
      </w:pPr>
      <w:r w:rsidRPr="00A550B2">
        <w:rPr>
          <w:b/>
          <w:bCs/>
          <w:sz w:val="20"/>
          <w:szCs w:val="20"/>
        </w:rPr>
        <w:t>SOURCE-TO-VARIABLE MAPPING</w:t>
      </w:r>
    </w:p>
    <w:p w14:paraId="4E858251" w14:textId="77777777" w:rsidR="00A550B2" w:rsidRPr="00A550B2" w:rsidRDefault="00A550B2" w:rsidP="00A550B2">
      <w:pPr>
        <w:rPr>
          <w:sz w:val="20"/>
          <w:szCs w:val="20"/>
        </w:rPr>
      </w:pPr>
      <w:r w:rsidRPr="00A550B2">
        <w:rPr>
          <w:sz w:val="20"/>
          <w:szCs w:val="20"/>
        </w:rPr>
        <w:t>Source 1 (NationBuilder/Knobel) — 1, 6, 7, 8, 12, 14, 15b, 15c</w:t>
      </w:r>
      <w:r w:rsidRPr="00A550B2">
        <w:rPr>
          <w:sz w:val="20"/>
          <w:szCs w:val="20"/>
        </w:rPr>
        <w:br/>
        <w:t xml:space="preserve"> Source 2 (ACON/CSRH Kolstee &amp; Hopwood 2016) — 5, 12, 15d</w:t>
      </w:r>
      <w:r w:rsidRPr="00A550B2">
        <w:rPr>
          <w:sz w:val="20"/>
          <w:szCs w:val="20"/>
        </w:rPr>
        <w:br/>
        <w:t xml:space="preserve"> Source 3 (BuzzFeed/Taylor) — 3, 4, 8, 14</w:t>
      </w:r>
      <w:r w:rsidRPr="00A550B2">
        <w:rPr>
          <w:sz w:val="20"/>
          <w:szCs w:val="20"/>
        </w:rPr>
        <w:br/>
        <w:t xml:space="preserve"> Source 4 (Coalition for Marriage website) — 4, 14</w:t>
      </w:r>
      <w:r w:rsidRPr="00A550B2">
        <w:rPr>
          <w:sz w:val="20"/>
          <w:szCs w:val="20"/>
        </w:rPr>
        <w:br/>
        <w:t xml:space="preserve"> Source 5 (Justice and Equity Centre) — 4, 5, 13, 15e</w:t>
      </w:r>
      <w:r w:rsidRPr="00A550B2">
        <w:rPr>
          <w:sz w:val="20"/>
          <w:szCs w:val="20"/>
        </w:rPr>
        <w:br/>
        <w:t xml:space="preserve"> Source 6 (HRLC) — 3, 13, 15e</w:t>
      </w:r>
      <w:r w:rsidRPr="00A550B2">
        <w:rPr>
          <w:sz w:val="20"/>
          <w:szCs w:val="20"/>
        </w:rPr>
        <w:br/>
        <w:t xml:space="preserve"> Source 7 (Catholic Weekly) — 3, 4, 14</w:t>
      </w:r>
      <w:r w:rsidRPr="00A550B2">
        <w:rPr>
          <w:sz w:val="20"/>
          <w:szCs w:val="20"/>
        </w:rPr>
        <w:br/>
        <w:t xml:space="preserve"> Source 8 (Twomey/AusPubLaw) — 2, 13, 15e</w:t>
      </w:r>
      <w:r w:rsidRPr="00A550B2">
        <w:rPr>
          <w:sz w:val="20"/>
          <w:szCs w:val="20"/>
        </w:rPr>
        <w:br/>
        <w:t xml:space="preserve"> Source 9 (Ecker et al. 2019) — 5, 8, 14</w:t>
      </w:r>
      <w:r w:rsidRPr="00A550B2">
        <w:rPr>
          <w:sz w:val="20"/>
          <w:szCs w:val="20"/>
        </w:rPr>
        <w:br/>
        <w:t xml:space="preserve"> Source 10 (OECD/OPSI) — 1, 6, 7, 8, 9, 10, 11, 15a</w:t>
      </w:r>
      <w:r w:rsidRPr="00A550B2">
        <w:rPr>
          <w:sz w:val="20"/>
          <w:szCs w:val="20"/>
        </w:rPr>
        <w:br/>
        <w:t xml:space="preserve"> Source 11 (ABS results) — 2, 7, 10, 11, 13</w:t>
      </w:r>
      <w:r w:rsidRPr="00A550B2">
        <w:rPr>
          <w:sz w:val="20"/>
          <w:szCs w:val="20"/>
        </w:rPr>
        <w:br/>
        <w:t xml:space="preserve"> Source 12 (ABS conduct report) — 2, 6, 10, 11, 13</w:t>
      </w:r>
      <w:r w:rsidRPr="00A550B2">
        <w:rPr>
          <w:sz w:val="20"/>
          <w:szCs w:val="20"/>
        </w:rPr>
        <w:br/>
        <w:t xml:space="preserve"> Category B (AIFS/HILDA; Essential Media) — 12</w:t>
      </w:r>
    </w:p>
    <w:p w14:paraId="72E549FE" w14:textId="77777777" w:rsidR="00A550B2" w:rsidRPr="00A550B2" w:rsidRDefault="00641196" w:rsidP="00A550B2">
      <w:pPr>
        <w:rPr>
          <w:sz w:val="20"/>
          <w:szCs w:val="20"/>
        </w:rPr>
      </w:pPr>
      <w:r>
        <w:rPr>
          <w:sz w:val="20"/>
          <w:szCs w:val="20"/>
        </w:rPr>
        <w:pict w14:anchorId="025696AF">
          <v:rect id="_x0000_i1042" style="width:0;height:1.5pt" o:hralign="center" o:hrstd="t" o:hr="t" fillcolor="#a0a0a0" stroked="f"/>
        </w:pict>
      </w:r>
    </w:p>
    <w:p w14:paraId="61549D0B" w14:textId="77777777" w:rsidR="00A550B2" w:rsidRPr="00A550B2" w:rsidRDefault="00A550B2" w:rsidP="00A550B2">
      <w:pPr>
        <w:rPr>
          <w:sz w:val="20"/>
          <w:szCs w:val="20"/>
        </w:rPr>
      </w:pPr>
      <w:r w:rsidRPr="00A550B2">
        <w:rPr>
          <w:b/>
          <w:bCs/>
          <w:sz w:val="20"/>
          <w:szCs w:val="20"/>
        </w:rPr>
        <w:t>OBSERVATION</w:t>
      </w:r>
    </w:p>
    <w:p w14:paraId="06198DEF" w14:textId="77777777" w:rsidR="00A550B2" w:rsidRPr="00A550B2" w:rsidRDefault="00A550B2" w:rsidP="00A550B2">
      <w:pPr>
        <w:rPr>
          <w:sz w:val="20"/>
          <w:szCs w:val="20"/>
        </w:rPr>
      </w:pPr>
      <w:r w:rsidRPr="00A550B2">
        <w:rPr>
          <w:sz w:val="20"/>
          <w:szCs w:val="20"/>
        </w:rPr>
        <w:t>Source 1 (NationBuilder/Knobel) is the most load-bearing campaign-side source, contributing to eight variables including three Notable Tactics — which reflects its status as the primary campaign strategy retrospective from the digital organising director. Sources 10, 11, and 12 (OECD/OPSI, ABS results, ABS conduct report) together anchor the outcome and process variables with authoritative primary government and innovation documentation. The No campaign sources (3, 4, 7) are essential for Variable 4 (Type of opposition) and Variable 14 (Narrative dominance) and are well-balanced against the Yes campaign documentation. Source 9 (Ecker et al.) is the only peer-reviewed academic source measuring the campaign's psychological impact — it is post-window (published 2019, data collected during the survey period August–November 2017) and directly relevant. Source 4 (Coalition for Marriage website) is JavaScript-rendered and not directly fetchable; its content is confirmed via Source 3 and academic literature.</w:t>
      </w:r>
    </w:p>
    <w:p w14:paraId="1D66C29F" w14:textId="77777777" w:rsidR="00A550B2" w:rsidRPr="00A550B2" w:rsidRDefault="00641196" w:rsidP="00A550B2">
      <w:pPr>
        <w:rPr>
          <w:sz w:val="20"/>
          <w:szCs w:val="20"/>
        </w:rPr>
      </w:pPr>
      <w:r>
        <w:rPr>
          <w:sz w:val="20"/>
          <w:szCs w:val="20"/>
        </w:rPr>
        <w:pict w14:anchorId="4EDF770A">
          <v:rect id="_x0000_i1043" style="width:0;height:1.5pt" o:hralign="center" o:hrstd="t" o:hr="t" fillcolor="#a0a0a0" stroked="f"/>
        </w:pict>
      </w:r>
    </w:p>
    <w:p w14:paraId="0A451B77" w14:textId="77777777" w:rsidR="00A550B2" w:rsidRPr="00A550B2" w:rsidRDefault="00A550B2" w:rsidP="00A550B2">
      <w:pPr>
        <w:rPr>
          <w:sz w:val="20"/>
          <w:szCs w:val="20"/>
        </w:rPr>
      </w:pPr>
      <w:r w:rsidRPr="00A550B2">
        <w:rPr>
          <w:b/>
          <w:bCs/>
          <w:sz w:val="20"/>
          <w:szCs w:val="20"/>
        </w:rPr>
        <w:t>CASE-LEVEL SUMMARY</w:t>
      </w:r>
    </w:p>
    <w:p w14:paraId="183B6592" w14:textId="77777777" w:rsidR="00A550B2" w:rsidRPr="00A550B2" w:rsidRDefault="00A550B2" w:rsidP="00A550B2">
      <w:pPr>
        <w:rPr>
          <w:sz w:val="20"/>
          <w:szCs w:val="20"/>
        </w:rPr>
      </w:pPr>
      <w:r w:rsidRPr="00A550B2">
        <w:rPr>
          <w:sz w:val="20"/>
          <w:szCs w:val="20"/>
        </w:rPr>
        <w:t>Variables coded at Insufficient: None.</w:t>
      </w:r>
      <w:r w:rsidRPr="00A550B2">
        <w:rPr>
          <w:sz w:val="20"/>
          <w:szCs w:val="20"/>
        </w:rPr>
        <w:br/>
        <w:t xml:space="preserve"> Variables coded at Medium confidence:</w:t>
      </w:r>
      <w:r w:rsidRPr="00A550B2">
        <w:rPr>
          <w:sz w:val="20"/>
          <w:szCs w:val="20"/>
        </w:rPr>
        <w:br/>
        <w:t xml:space="preserve"> Variable 8 (Coalition size/non-obvious allies) — breadth confirmed but corporate allies not fully enumerated in locked sources.</w:t>
      </w:r>
      <w:r w:rsidRPr="00A550B2">
        <w:rPr>
          <w:sz w:val="20"/>
          <w:szCs w:val="20"/>
        </w:rPr>
        <w:br/>
        <w:t xml:space="preserve"> Notable Tactic 15a (Corporate sector mobilisation) — confirmed as a campaign feature but specific company documentation limited in locked set.</w:t>
      </w:r>
      <w:r w:rsidRPr="00A550B2">
        <w:rPr>
          <w:sz w:val="20"/>
          <w:szCs w:val="20"/>
        </w:rPr>
        <w:br/>
        <w:t xml:space="preserve"> Phase 1/4 exception used: None — all variable codings draw from in-window locked sources or directly pre-window sources for Variable 12 (per variable definition). Category B sources for Variable 12 are flagged explicitly.</w:t>
      </w:r>
      <w:r w:rsidRPr="00A550B2">
        <w:rPr>
          <w:sz w:val="20"/>
          <w:szCs w:val="20"/>
        </w:rPr>
        <w:br/>
        <w:t xml:space="preserve"> Mixed/Unresolved: Not applicable — campaign resolved cleanly within the window (royal assent 7 December 2017).</w:t>
      </w:r>
    </w:p>
    <w:p w14:paraId="39B45480" w14:textId="77777777" w:rsidR="00A550B2" w:rsidRPr="00A550B2" w:rsidRDefault="00A550B2" w:rsidP="00A550B2">
      <w:pPr>
        <w:rPr>
          <w:sz w:val="20"/>
          <w:szCs w:val="20"/>
        </w:rPr>
      </w:pPr>
      <w:r w:rsidRPr="00A550B2">
        <w:rPr>
          <w:b/>
          <w:bCs/>
          <w:sz w:val="20"/>
          <w:szCs w:val="20"/>
        </w:rPr>
        <w:t>OVERALL CASE CONFIDENCE/QUALITY FLAG</w:t>
      </w:r>
      <w:r w:rsidRPr="00A550B2">
        <w:rPr>
          <w:b/>
          <w:bCs/>
          <w:sz w:val="20"/>
          <w:szCs w:val="20"/>
        </w:rPr>
        <w:br/>
      </w:r>
      <w:r w:rsidRPr="00A550B2">
        <w:rPr>
          <w:sz w:val="20"/>
          <w:szCs w:val="20"/>
        </w:rPr>
        <w:t xml:space="preserve"> High. Thirteen of fifteen substantive entries are at High confidence. Variable 8 and Notable Tactic 15a are Medium for clearly stated reasons. The case has an unusually short four-month window, which means the source set is necessarily concentrated — the NationBuilder account, three ABS documents, and the OECD/OPSI case study together provide comprehensive coverage of the campaign's mechanics, scale, and speed. The pre-campaign public sentiment baseline is the best-evidenced Variable 12 of any case in this dataset, with convergent longitudinal and cross-sectional polling evidence from before the window opened.</w:t>
      </w:r>
    </w:p>
    <w:p w14:paraId="561A90C2" w14:textId="77777777" w:rsidR="00A550B2" w:rsidRPr="00A550B2" w:rsidRDefault="00641196" w:rsidP="00A550B2">
      <w:pPr>
        <w:rPr>
          <w:sz w:val="20"/>
          <w:szCs w:val="20"/>
        </w:rPr>
      </w:pPr>
      <w:r>
        <w:rPr>
          <w:sz w:val="20"/>
          <w:szCs w:val="20"/>
        </w:rPr>
        <w:lastRenderedPageBreak/>
        <w:pict w14:anchorId="6DE68EB4">
          <v:rect id="_x0000_i1044" style="width:0;height:1.5pt" o:hralign="center" o:hrstd="t" o:hr="t" fillcolor="#a0a0a0" stroked="f"/>
        </w:pict>
      </w:r>
    </w:p>
    <w:p w14:paraId="54304FA5" w14:textId="77777777" w:rsidR="00A550B2" w:rsidRPr="00A550B2" w:rsidRDefault="00A550B2" w:rsidP="00A550B2">
      <w:pPr>
        <w:rPr>
          <w:sz w:val="20"/>
          <w:szCs w:val="20"/>
        </w:rPr>
      </w:pPr>
      <w:r w:rsidRPr="00A550B2">
        <w:rPr>
          <w:b/>
          <w:bCs/>
          <w:sz w:val="20"/>
          <w:szCs w:val="20"/>
        </w:rPr>
        <w:t>HINDSIGHT NOTES</w:t>
      </w:r>
    </w:p>
    <w:p w14:paraId="5C6C5FBB" w14:textId="77777777" w:rsidR="00A550B2" w:rsidRPr="00A550B2" w:rsidRDefault="00A550B2" w:rsidP="00A550B2">
      <w:pPr>
        <w:rPr>
          <w:sz w:val="20"/>
          <w:szCs w:val="20"/>
        </w:rPr>
      </w:pPr>
      <w:r w:rsidRPr="00A550B2">
        <w:rPr>
          <w:sz w:val="20"/>
          <w:szCs w:val="20"/>
        </w:rPr>
        <w:t>Variable 9 (Economic disruption) — post-window analysis (various) has confirmed that marriage equality had no negative economic effects and was associated with tourism and business activity benefits; consistent with the in-window coding of zero disruption.</w:t>
      </w:r>
      <w:r w:rsidRPr="00A550B2">
        <w:rPr>
          <w:sz w:val="20"/>
          <w:szCs w:val="20"/>
        </w:rPr>
        <w:br/>
        <w:t xml:space="preserve"> Variable 14 (Narrative dominance) — post-window academic analysis (Ecker et al. and subsequent literature) confirms that exposure to No campaign rhetoric caused measurable psychological harm to LGBTIQ people during the window, reinforcing the coding of the No campaign as genuinely impactful even in ultimate defeat.</w:t>
      </w:r>
      <w:r w:rsidRPr="00A550B2">
        <w:rPr>
          <w:sz w:val="20"/>
          <w:szCs w:val="20"/>
        </w:rPr>
        <w:br/>
        <w:t xml:space="preserve"> Variable 12 (Public sentiment) — the final 61.6% Yes result closely matches the 63–66% pre-window polling, confirming the polling was accurate and the campaign's job was activation rather than persuasion. The 4–5 percentage point gap between polling support and final Yes result is consistent with the voluntary nature of the survey reducing participation among some supporters.</w:t>
      </w:r>
    </w:p>
    <w:p w14:paraId="51C53BD4" w14:textId="60869674" w:rsidR="005E3E75" w:rsidRDefault="0082197F" w:rsidP="0082197F">
      <w:pPr>
        <w:pStyle w:val="Heading1"/>
      </w:pPr>
      <w:r>
        <w:t>CASE 10: Australian plain packaging tobacco</w:t>
      </w:r>
    </w:p>
    <w:p w14:paraId="434C1FC1" w14:textId="77777777" w:rsidR="00412F17" w:rsidRPr="00412F17" w:rsidRDefault="00412F17" w:rsidP="00412F17">
      <w:r w:rsidRPr="00412F17">
        <w:rPr>
          <w:b/>
          <w:bCs/>
        </w:rPr>
        <w:t>LIST B — EVIDENCE / CONFIDENCE / SOURCE TAG</w:t>
      </w:r>
    </w:p>
    <w:p w14:paraId="5A6B07C1" w14:textId="77777777" w:rsidR="00412F17" w:rsidRPr="008A5256" w:rsidRDefault="00412F17" w:rsidP="00043AF9">
      <w:pPr>
        <w:numPr>
          <w:ilvl w:val="0"/>
          <w:numId w:val="20"/>
        </w:numPr>
        <w:rPr>
          <w:sz w:val="20"/>
          <w:szCs w:val="20"/>
        </w:rPr>
      </w:pPr>
      <w:r w:rsidRPr="008A5256">
        <w:rPr>
          <w:sz w:val="20"/>
          <w:szCs w:val="20"/>
        </w:rPr>
        <w:t>Target type</w:t>
      </w:r>
      <w:r w:rsidRPr="008A5256">
        <w:rPr>
          <w:sz w:val="20"/>
          <w:szCs w:val="20"/>
        </w:rPr>
        <w:br/>
        <w:t xml:space="preserve"> Evidence: Liberman confirms the Bill was introduced by the Minister for Health into the House of Representatives on 6 July 2011, making federal parliament the proximate legislative decision-maker. The Parliament of Australia Inquiry and TPP Bill Record document the formal committee process. Cancer Council Australia's coalition narrative confirms tobacco manufacturers were the regulated entities and retailers were mobilised as proxies by industry.</w:t>
      </w:r>
      <w:r w:rsidRPr="008A5256">
        <w:rPr>
          <w:sz w:val="20"/>
          <w:szCs w:val="20"/>
        </w:rPr>
        <w:br/>
        <w:t xml:space="preserve"> Confidence: High — multiple in-window sources agree on the legislative pathway and identity of regulated parties.</w:t>
      </w:r>
      <w:r w:rsidRPr="008A5256">
        <w:rPr>
          <w:sz w:val="20"/>
          <w:szCs w:val="20"/>
        </w:rPr>
        <w:br/>
        <w:t xml:space="preserve"> Source Tag: Liberman (2012); Parliament of Australia Inquiry; Parliament of Australia TPP Bill Record; Cancer Council Australia (Landmark Victory).</w:t>
      </w:r>
    </w:p>
    <w:p w14:paraId="57154C61" w14:textId="77777777" w:rsidR="00412F17" w:rsidRPr="008A5256" w:rsidRDefault="00412F17" w:rsidP="00043AF9">
      <w:pPr>
        <w:numPr>
          <w:ilvl w:val="0"/>
          <w:numId w:val="20"/>
        </w:numPr>
        <w:rPr>
          <w:sz w:val="20"/>
          <w:szCs w:val="20"/>
        </w:rPr>
      </w:pPr>
      <w:r w:rsidRPr="008A5256">
        <w:rPr>
          <w:sz w:val="20"/>
          <w:szCs w:val="20"/>
        </w:rPr>
        <w:t>Concentration of decision-making power</w:t>
      </w:r>
      <w:r w:rsidRPr="008A5256">
        <w:rPr>
          <w:sz w:val="20"/>
          <w:szCs w:val="20"/>
        </w:rPr>
        <w:br/>
        <w:t xml:space="preserve"> Evidence: Liberman notes the government was returned after August 2010 as a minority government and reaffirmed plain packaging plans in October 2010, indicating the decision rested with a small executive core requiring negotiated parliamentary support. The Parliament of Australia TPP Bill Record documents passage through both chambers. The Senate inquiry record confirms formal committee scrutiny added a distributed legislative layer beyond pure executive fiat.</w:t>
      </w:r>
      <w:r w:rsidRPr="008A5256">
        <w:rPr>
          <w:sz w:val="20"/>
          <w:szCs w:val="20"/>
        </w:rPr>
        <w:br/>
        <w:t xml:space="preserve"> Confidence: High — Liberman and both parliamentary sources converge on the structural picture.</w:t>
      </w:r>
      <w:r w:rsidRPr="008A5256">
        <w:rPr>
          <w:sz w:val="20"/>
          <w:szCs w:val="20"/>
        </w:rPr>
        <w:br/>
        <w:t xml:space="preserve"> Source Tag: Liberman (2012); Parliament of Australia Inquiry; Parliament of Australia TPP Bill Record.</w:t>
      </w:r>
    </w:p>
    <w:p w14:paraId="67201A33" w14:textId="77777777" w:rsidR="00412F17" w:rsidRPr="008A5256" w:rsidRDefault="00412F17" w:rsidP="00043AF9">
      <w:pPr>
        <w:numPr>
          <w:ilvl w:val="0"/>
          <w:numId w:val="20"/>
        </w:numPr>
        <w:rPr>
          <w:sz w:val="20"/>
          <w:szCs w:val="20"/>
        </w:rPr>
      </w:pPr>
      <w:r w:rsidRPr="008A5256">
        <w:rPr>
          <w:sz w:val="20"/>
          <w:szCs w:val="20"/>
        </w:rPr>
        <w:t>Strength of opposition</w:t>
      </w:r>
      <w:r w:rsidRPr="008A5256">
        <w:rPr>
          <w:sz w:val="20"/>
          <w:szCs w:val="20"/>
        </w:rPr>
        <w:br/>
        <w:t xml:space="preserve"> Evidence: Liberman documents BATA, PMA, and ITA each running separate high-profile public campaigns while jointly funding the Alliance of Australian Retailers with $5.3 million at formation. Tobacco Tactics (BAT Lobbying) and SourceWatch (AAR) confirm the financial architecture and the Civic Group's $200k/month retainer. The High Court challenge (JT International [2012] HCA 43) and the Philip Morris Asia arbitration filing (PCA Case No. 2012-12) confirm opposition escalated to constitutional and international investment law challenge within the window.</w:t>
      </w:r>
      <w:r w:rsidRPr="008A5256">
        <w:rPr>
          <w:sz w:val="20"/>
          <w:szCs w:val="20"/>
        </w:rPr>
        <w:br/>
        <w:t xml:space="preserve"> Confidence: High — multiple in-window sources document opposition across financial, political, legal, and media channels with specific dollar figures.</w:t>
      </w:r>
      <w:r w:rsidRPr="008A5256">
        <w:rPr>
          <w:sz w:val="20"/>
          <w:szCs w:val="20"/>
        </w:rPr>
        <w:br/>
        <w:t xml:space="preserve"> Source Tag: Liberman (2012); Tobacco Tactics (BAT Lobbying); SourceWatch (AAR); High Court (JT International); PCA (Philip Morris Asia).</w:t>
      </w:r>
    </w:p>
    <w:p w14:paraId="559A051F" w14:textId="77777777" w:rsidR="00412F17" w:rsidRPr="008A5256" w:rsidRDefault="00412F17" w:rsidP="00043AF9">
      <w:pPr>
        <w:numPr>
          <w:ilvl w:val="0"/>
          <w:numId w:val="20"/>
        </w:numPr>
        <w:rPr>
          <w:sz w:val="20"/>
          <w:szCs w:val="20"/>
        </w:rPr>
      </w:pPr>
      <w:r w:rsidRPr="008A5256">
        <w:rPr>
          <w:sz w:val="20"/>
          <w:szCs w:val="20"/>
        </w:rPr>
        <w:t>Type of opposition</w:t>
      </w:r>
      <w:r w:rsidRPr="008A5256">
        <w:rPr>
          <w:sz w:val="20"/>
          <w:szCs w:val="20"/>
        </w:rPr>
        <w:br/>
        <w:t xml:space="preserve"> Evidence: Liberman details the industry's use of the AAR as a retailer front group to reframe corporate opposition as small-business concern, and documents PMA's "I Deserve to Be Heard" campaign reframing the issue as smokers' rights. SourceWatch and Tobacco Tactics confirm the AAR was industry-funded and managed by The Civic Group communications agency, not an organic retailer coalition. The High Court and PCA filings confirm a simultaneous legal-institutional opposition track.</w:t>
      </w:r>
      <w:r w:rsidRPr="008A5256">
        <w:rPr>
          <w:sz w:val="20"/>
          <w:szCs w:val="20"/>
        </w:rPr>
        <w:br/>
      </w:r>
      <w:r w:rsidRPr="008A5256">
        <w:rPr>
          <w:sz w:val="20"/>
          <w:szCs w:val="20"/>
        </w:rPr>
        <w:lastRenderedPageBreak/>
        <w:t xml:space="preserve"> Confidence: High — front-group mechanics documented by multiple independent sources; Liberman provides the narrative of each company's distinct public strategy.</w:t>
      </w:r>
      <w:r w:rsidRPr="008A5256">
        <w:rPr>
          <w:sz w:val="20"/>
          <w:szCs w:val="20"/>
        </w:rPr>
        <w:br/>
        <w:t xml:space="preserve"> Source Tag: Liberman (2012); SourceWatch (AAR); Tobacco Tactics (BAT Lobbying); High Court (JT International); PCA (Philip Morris Asia).</w:t>
      </w:r>
    </w:p>
    <w:p w14:paraId="10C35400" w14:textId="77777777" w:rsidR="00412F17" w:rsidRPr="008A5256" w:rsidRDefault="00412F17" w:rsidP="00043AF9">
      <w:pPr>
        <w:numPr>
          <w:ilvl w:val="0"/>
          <w:numId w:val="20"/>
        </w:numPr>
        <w:rPr>
          <w:sz w:val="20"/>
          <w:szCs w:val="20"/>
        </w:rPr>
      </w:pPr>
      <w:r w:rsidRPr="008A5256">
        <w:rPr>
          <w:sz w:val="20"/>
          <w:szCs w:val="20"/>
        </w:rPr>
        <w:t>Visibility of harm to the public</w:t>
      </w:r>
      <w:r w:rsidRPr="008A5256">
        <w:rPr>
          <w:sz w:val="20"/>
          <w:szCs w:val="20"/>
        </w:rPr>
        <w:br/>
        <w:t xml:space="preserve"> Evidence: Liberman traces Australian tobacco control from the 1970s through to 2010, noting adult weekly smoking prevalence had fallen from approximately 35 per cent in 1980 to under 21 per cent by 2007, driven by mass media education and legislative restriction. Cancer Council Australia (Leading the World) confirms ongoing public-facing communication of tobacco harm evidence underpinned the plain packaging push. The Parliament of Australia Inquiry record reflects that harm visibility was treated as settled context rather than a contested premise during committee deliberations.</w:t>
      </w:r>
      <w:r w:rsidRPr="008A5256">
        <w:rPr>
          <w:sz w:val="20"/>
          <w:szCs w:val="20"/>
        </w:rPr>
        <w:br/>
        <w:t xml:space="preserve"> Confidence: High — Liberman provides extensive longitudinal evidence; Cancer Council source confirms visibility was maintained as an active campaign asset.</w:t>
      </w:r>
      <w:r w:rsidRPr="008A5256">
        <w:rPr>
          <w:sz w:val="20"/>
          <w:szCs w:val="20"/>
        </w:rPr>
        <w:br/>
        <w:t xml:space="preserve"> Source Tag: Liberman (2012); Cancer Council Australia (Leading the World); Parliament of Australia Inquiry.</w:t>
      </w:r>
    </w:p>
    <w:p w14:paraId="307A4065" w14:textId="77777777" w:rsidR="00412F17" w:rsidRPr="008A5256" w:rsidRDefault="00412F17" w:rsidP="00043AF9">
      <w:pPr>
        <w:numPr>
          <w:ilvl w:val="0"/>
          <w:numId w:val="20"/>
        </w:numPr>
        <w:rPr>
          <w:sz w:val="20"/>
          <w:szCs w:val="20"/>
        </w:rPr>
      </w:pPr>
      <w:r w:rsidRPr="008A5256">
        <w:rPr>
          <w:sz w:val="20"/>
          <w:szCs w:val="20"/>
        </w:rPr>
        <w:t>Degree of behaviour change required</w:t>
      </w:r>
      <w:r w:rsidRPr="008A5256">
        <w:rPr>
          <w:sz w:val="20"/>
          <w:szCs w:val="20"/>
        </w:rPr>
        <w:br/>
        <w:t xml:space="preserve"> Evidence: Liberman describes the Bill's requirements in detail — drab dark brown packaging, no trademarks or logos, standardised font, rigid cardboard, specific dimensions — all obligations falling on manufacturers and retailers, not consumers. Cancer Council Australia (Plain Packaging Evidence Review) frames the measure as reducing the appeal of packaging to consumers, confirming the mechanism is environmental/structural rather than requiring individual behaviour change.</w:t>
      </w:r>
      <w:r w:rsidRPr="008A5256">
        <w:rPr>
          <w:sz w:val="20"/>
          <w:szCs w:val="20"/>
        </w:rPr>
        <w:br/>
        <w:t xml:space="preserve"> Confidence: High — legislative text summary in Liberman is unambiguous; Cancer Council evidence review confirms the behavioural theory of change.</w:t>
      </w:r>
      <w:r w:rsidRPr="008A5256">
        <w:rPr>
          <w:sz w:val="20"/>
          <w:szCs w:val="20"/>
        </w:rPr>
        <w:br/>
        <w:t xml:space="preserve"> Source Tag: Liberman (2012); Cancer Council Australia (Plain Packaging Evidence Review).</w:t>
      </w:r>
    </w:p>
    <w:p w14:paraId="5D05259A" w14:textId="77777777" w:rsidR="00412F17" w:rsidRPr="008A5256" w:rsidRDefault="00412F17" w:rsidP="00043AF9">
      <w:pPr>
        <w:numPr>
          <w:ilvl w:val="0"/>
          <w:numId w:val="20"/>
        </w:numPr>
        <w:rPr>
          <w:sz w:val="20"/>
          <w:szCs w:val="20"/>
        </w:rPr>
      </w:pPr>
      <w:r w:rsidRPr="008A5256">
        <w:rPr>
          <w:sz w:val="20"/>
          <w:szCs w:val="20"/>
        </w:rPr>
        <w:t>Role of policy vs market pressure vs cultural shift</w:t>
      </w:r>
      <w:r w:rsidRPr="008A5256">
        <w:rPr>
          <w:sz w:val="20"/>
          <w:szCs w:val="20"/>
        </w:rPr>
        <w:br/>
        <w:t xml:space="preserve"> Evidence: Liberman describes plain packaging explicitly as a legislative initiative requiring parliamentary passage, with government as the sole actor capable of implementation. The Parliament of Australia TPP Bill Record confirms the mechanism was statutory, not market-based. Cancer Council Australia (Landmark Victory) confirms the health NGO coalition's role was to support and defend the legislative pathway, not to generate consumer or investor pressure. Liberman notes declining smoking prevalence was a pre-existing condition that enabled but did not constitute the campaign.</w:t>
      </w:r>
      <w:r w:rsidRPr="008A5256">
        <w:rPr>
          <w:sz w:val="20"/>
          <w:szCs w:val="20"/>
        </w:rPr>
        <w:br/>
        <w:t xml:space="preserve"> Confidence: High — all in-window sources point consistently to the legislative mechanism as primary.</w:t>
      </w:r>
      <w:r w:rsidRPr="008A5256">
        <w:rPr>
          <w:sz w:val="20"/>
          <w:szCs w:val="20"/>
        </w:rPr>
        <w:br/>
        <w:t xml:space="preserve"> Source Tag: Liberman (2012); Parliament of Australia TPP Bill Record; Cancer Council Australia (Landmark Victory).</w:t>
      </w:r>
    </w:p>
    <w:p w14:paraId="298066A7" w14:textId="77777777" w:rsidR="00412F17" w:rsidRPr="008A5256" w:rsidRDefault="00412F17" w:rsidP="00043AF9">
      <w:pPr>
        <w:numPr>
          <w:ilvl w:val="0"/>
          <w:numId w:val="20"/>
        </w:numPr>
        <w:rPr>
          <w:sz w:val="20"/>
          <w:szCs w:val="20"/>
        </w:rPr>
      </w:pPr>
      <w:r w:rsidRPr="008A5256">
        <w:rPr>
          <w:sz w:val="20"/>
          <w:szCs w:val="20"/>
        </w:rPr>
        <w:t>Coalition size, type, and presence of non-obvious allies</w:t>
      </w:r>
      <w:r w:rsidRPr="008A5256">
        <w:rPr>
          <w:sz w:val="20"/>
          <w:szCs w:val="20"/>
        </w:rPr>
        <w:br/>
        <w:t xml:space="preserve"> Evidence: Cancer Council Australia's documents confirm it led the domestic coalition with other health NGOs. Liberman notes that both the WHO and the FCTC Secretariat made formal submissions to the Australian Government supporting the legislation, lending international institutional legitimacy as non-obvious allies operating outside the domestic health-NGO coalition. The Parliament of Australia Inquiry record reflects submissions from a range of health organisations. No evidence in the locked source set of business, labour, or non-health civil society organisations as coalition members.</w:t>
      </w:r>
      <w:r w:rsidRPr="008A5256">
        <w:rPr>
          <w:sz w:val="20"/>
          <w:szCs w:val="20"/>
        </w:rPr>
        <w:br/>
        <w:t xml:space="preserve"> Confidence: Medium — domestic coalition composition confirmed but not enumerated in detail; WHO/FCTC as non-obvious allies is directly evidenced; absence of cross-sector allies is an inference from the source set rather than a confirmed negative.</w:t>
      </w:r>
      <w:r w:rsidRPr="008A5256">
        <w:rPr>
          <w:sz w:val="20"/>
          <w:szCs w:val="20"/>
        </w:rPr>
        <w:br/>
        <w:t xml:space="preserve"> Source Tag: Liberman (2012); Cancer Council Australia (Landmark Victory); Cancer Council Australia (Leading the World); Parliament of Australia Inquiry.</w:t>
      </w:r>
    </w:p>
    <w:p w14:paraId="3DEEE91D" w14:textId="77777777" w:rsidR="00412F17" w:rsidRPr="008A5256" w:rsidRDefault="00412F17" w:rsidP="00043AF9">
      <w:pPr>
        <w:numPr>
          <w:ilvl w:val="0"/>
          <w:numId w:val="20"/>
        </w:numPr>
        <w:rPr>
          <w:sz w:val="20"/>
          <w:szCs w:val="20"/>
        </w:rPr>
      </w:pPr>
      <w:r w:rsidRPr="008A5256">
        <w:rPr>
          <w:sz w:val="20"/>
          <w:szCs w:val="20"/>
        </w:rPr>
        <w:t>Economic disruption required</w:t>
      </w:r>
      <w:r w:rsidRPr="008A5256">
        <w:rPr>
          <w:sz w:val="20"/>
          <w:szCs w:val="20"/>
        </w:rPr>
        <w:br/>
        <w:t xml:space="preserve"> Evidence: Liberman quotes Citigroup's April 2010 characterisation of plain packaging as the "biggest regulatory threat to the industry," indicating the market assessed economic impact on manufacturers as severe. Liberman also documents industry claims about retailer losses via AAR/Deloitte modelling, though these were contested and attributed to industry-commissioned research. The PCA arbitration filing confirms manufacturers sought to quantify economic harm through international investment law, consistent with high perceived economic impact </w:t>
      </w:r>
      <w:r w:rsidRPr="008A5256">
        <w:rPr>
          <w:sz w:val="20"/>
          <w:szCs w:val="20"/>
        </w:rPr>
        <w:lastRenderedPageBreak/>
        <w:t>at the firm level. No locked source documents significant broader economic disruption beyond the tobacco sector.</w:t>
      </w:r>
      <w:r w:rsidRPr="008A5256">
        <w:rPr>
          <w:sz w:val="20"/>
          <w:szCs w:val="20"/>
        </w:rPr>
        <w:br/>
        <w:t xml:space="preserve"> Confidence: Medium — manufacturer-level economic disruption well-supported; precise scale contested and broader economic picture not independently documented in the locked source set.</w:t>
      </w:r>
      <w:r w:rsidRPr="008A5256">
        <w:rPr>
          <w:sz w:val="20"/>
          <w:szCs w:val="20"/>
        </w:rPr>
        <w:br/>
        <w:t xml:space="preserve"> Source Tag: Liberman (2012); PCA (Philip Morris Asia); Tobacco Tactics (BAT Lobbying).</w:t>
      </w:r>
    </w:p>
    <w:p w14:paraId="1171CC37" w14:textId="77777777" w:rsidR="00412F17" w:rsidRPr="008A5256" w:rsidRDefault="00412F17" w:rsidP="00043AF9">
      <w:pPr>
        <w:numPr>
          <w:ilvl w:val="0"/>
          <w:numId w:val="20"/>
        </w:numPr>
        <w:rPr>
          <w:sz w:val="20"/>
          <w:szCs w:val="20"/>
        </w:rPr>
      </w:pPr>
      <w:r w:rsidRPr="008A5256">
        <w:rPr>
          <w:sz w:val="20"/>
          <w:szCs w:val="20"/>
        </w:rPr>
        <w:t>Speed of change achieved</w:t>
      </w:r>
      <w:r w:rsidRPr="008A5256">
        <w:rPr>
          <w:sz w:val="20"/>
          <w:szCs w:val="20"/>
        </w:rPr>
        <w:br/>
        <w:t xml:space="preserve"> Evidence: Liberman confirms the April 2010 announcement and the July 2011 Bill introduction. The Parliament of Australia TPP Bill Record documents parliamentary passage (November 2011). Liberman notes the Bill required compliance from December 2012, confirmed as the window close date. Full arc from announcement to implementation was approximately 32 months.</w:t>
      </w:r>
      <w:r w:rsidRPr="008A5256">
        <w:rPr>
          <w:sz w:val="20"/>
          <w:szCs w:val="20"/>
        </w:rPr>
        <w:br/>
        <w:t xml:space="preserve"> Confidence: High — legislative timeline documented precisely across Liberman and the parliamentary record.</w:t>
      </w:r>
      <w:r w:rsidRPr="008A5256">
        <w:rPr>
          <w:sz w:val="20"/>
          <w:szCs w:val="20"/>
        </w:rPr>
        <w:br/>
        <w:t xml:space="preserve"> Source Tag: Liberman (2012); Parliament of Australia TPP Bill Record.</w:t>
      </w:r>
    </w:p>
    <w:p w14:paraId="55B402D1" w14:textId="77777777" w:rsidR="00412F17" w:rsidRPr="008A5256" w:rsidRDefault="00412F17" w:rsidP="00043AF9">
      <w:pPr>
        <w:numPr>
          <w:ilvl w:val="0"/>
          <w:numId w:val="20"/>
        </w:numPr>
        <w:rPr>
          <w:sz w:val="20"/>
          <w:szCs w:val="20"/>
        </w:rPr>
      </w:pPr>
      <w:r w:rsidRPr="008A5256">
        <w:rPr>
          <w:sz w:val="20"/>
          <w:szCs w:val="20"/>
        </w:rPr>
        <w:t>Scale of change achieved</w:t>
      </w:r>
      <w:r w:rsidRPr="008A5256">
        <w:rPr>
          <w:sz w:val="20"/>
          <w:szCs w:val="20"/>
        </w:rPr>
        <w:br/>
        <w:t xml:space="preserve"> Evidence: Liberman describes the Bill as applying to all tobacco products sold in Australia and characterises it as a "world-first initiative" per the Minister's second reading speech. The Parliament of Australia TPP Bill Record confirms national legislative scope. Cancer Council Australia (Landmark Victory) confirms the implementation milestone. The WTO dispute record (DS435, DS441) filed within the window confirms the measure's global significance was immediately recognised by other governments.</w:t>
      </w:r>
      <w:r w:rsidRPr="008A5256">
        <w:rPr>
          <w:sz w:val="20"/>
          <w:szCs w:val="20"/>
        </w:rPr>
        <w:br/>
        <w:t xml:space="preserve"> Confidence: High — legislative scope unambiguously documented; world-first status confirmed by multiple in-window sources.</w:t>
      </w:r>
      <w:r w:rsidRPr="008A5256">
        <w:rPr>
          <w:sz w:val="20"/>
          <w:szCs w:val="20"/>
        </w:rPr>
        <w:br/>
        <w:t xml:space="preserve"> Source Tag: Liberman (2012); Parliament of Australia TPP Bill Record; Cancer Council Australia (Landmark Victory); WTO (DS435/DS441).</w:t>
      </w:r>
    </w:p>
    <w:p w14:paraId="7B571AEB" w14:textId="77777777" w:rsidR="00A84E28" w:rsidRPr="008A5256" w:rsidRDefault="00412F17" w:rsidP="00043AF9">
      <w:pPr>
        <w:numPr>
          <w:ilvl w:val="0"/>
          <w:numId w:val="20"/>
        </w:numPr>
        <w:rPr>
          <w:sz w:val="20"/>
          <w:szCs w:val="20"/>
        </w:rPr>
      </w:pPr>
      <w:r w:rsidRPr="008A5256">
        <w:rPr>
          <w:sz w:val="20"/>
          <w:szCs w:val="20"/>
        </w:rPr>
        <w:t>Public sentiment starting point</w:t>
      </w:r>
      <w:r w:rsidRPr="008A5256">
        <w:rPr>
          <w:sz w:val="20"/>
          <w:szCs w:val="20"/>
        </w:rPr>
        <w:br/>
      </w:r>
      <w:r w:rsidR="00A84E28" w:rsidRPr="008A5256">
        <w:rPr>
          <w:sz w:val="20"/>
          <w:szCs w:val="20"/>
        </w:rPr>
        <w:t>Evidence: The International Tobacco Control (ITC) Four Country Survey (Australian arm, population-based cohort, September 2007–February 2008, n=1,778) found 35.6% of Australian smokers supported plain packaging more than two years before the campaign window opened — a meaningful minority even among the group most likely to oppose the measure. A subsequent ITC wave (October 2008–March 2009, n=1,346) found smoker support at 28.2%, stable pre-campaign. Scollo et al. (</w:t>
      </w:r>
      <w:r w:rsidR="00A84E28" w:rsidRPr="008A5256">
        <w:rPr>
          <w:i/>
          <w:iCs/>
          <w:sz w:val="20"/>
          <w:szCs w:val="20"/>
        </w:rPr>
        <w:t>BMJ Open</w:t>
      </w:r>
      <w:r w:rsidR="00A84E28" w:rsidRPr="008A5256">
        <w:rPr>
          <w:sz w:val="20"/>
          <w:szCs w:val="20"/>
        </w:rPr>
        <w:t>, 2018 — locked source) document media coverage of plain packaging as "low during preimplementation phase (2008–2009)" with editorials 55% supportive when they did engage — indicating general public and editorial sentiment was favourable but the issue had not yet achieved mass salience. Liberman et al. (locked source) establish that Australia had decades of prior anti-tobacco public education and declining smoking prevalence, meaning the general (non-smoking) public would have shown higher support than the ITC smoker baseline. Together these establish a starting point of high general pro-regulation sentiment, specific plain packaging support among a substantial minority even of smokers, and low issue salience requiring the campaign to activate rather than build support from scratch.</w:t>
      </w:r>
    </w:p>
    <w:p w14:paraId="57B094AB" w14:textId="77777777" w:rsidR="00A84E28" w:rsidRPr="008A5256" w:rsidRDefault="00A84E28" w:rsidP="00A84E28">
      <w:pPr>
        <w:ind w:left="720"/>
        <w:rPr>
          <w:sz w:val="20"/>
          <w:szCs w:val="20"/>
        </w:rPr>
      </w:pPr>
      <w:r w:rsidRPr="008A5256">
        <w:rPr>
          <w:sz w:val="20"/>
          <w:szCs w:val="20"/>
        </w:rPr>
        <w:t>Confidence: High — ITC Four Country Survey provides direct pre-campaign quantified polling data; Scollo et al. (locked source) provides independent corroboration of media sentiment; Liberman confirms the broader pro-regulation context. Moving from Medium to High on the strength of the ITC pre-campaign data now identified.</w:t>
      </w:r>
    </w:p>
    <w:p w14:paraId="47417434" w14:textId="3201F8A4" w:rsidR="00577529" w:rsidRPr="008A5256" w:rsidRDefault="00A84E28" w:rsidP="00A84E28">
      <w:pPr>
        <w:ind w:left="720"/>
        <w:rPr>
          <w:sz w:val="20"/>
          <w:szCs w:val="20"/>
        </w:rPr>
      </w:pPr>
      <w:r w:rsidRPr="008A5256">
        <w:rPr>
          <w:sz w:val="20"/>
          <w:szCs w:val="20"/>
        </w:rPr>
        <w:t>Source Tag: Swift et al. 2014 (</w:t>
      </w:r>
      <w:r w:rsidRPr="008A5256">
        <w:rPr>
          <w:i/>
          <w:iCs/>
          <w:sz w:val="20"/>
          <w:szCs w:val="20"/>
        </w:rPr>
        <w:t>Tobacco Control</w:t>
      </w:r>
      <w:r w:rsidRPr="008A5256">
        <w:rPr>
          <w:sz w:val="20"/>
          <w:szCs w:val="20"/>
        </w:rPr>
        <w:t xml:space="preserve">, reporting ITC Four Country Survey 2007–2009 data); Scollo et al. 2018 (locked source); Liberman et al. (locked source). </w:t>
      </w:r>
    </w:p>
    <w:p w14:paraId="365EC244" w14:textId="77777777" w:rsidR="00412F17" w:rsidRPr="008A5256" w:rsidRDefault="00412F17" w:rsidP="00043AF9">
      <w:pPr>
        <w:numPr>
          <w:ilvl w:val="0"/>
          <w:numId w:val="20"/>
        </w:numPr>
        <w:rPr>
          <w:sz w:val="20"/>
          <w:szCs w:val="20"/>
        </w:rPr>
      </w:pPr>
      <w:r w:rsidRPr="008A5256">
        <w:rPr>
          <w:sz w:val="20"/>
          <w:szCs w:val="20"/>
        </w:rPr>
        <w:t>Legal/regulatory landscape</w:t>
      </w:r>
      <w:r w:rsidRPr="008A5256">
        <w:rPr>
          <w:sz w:val="20"/>
          <w:szCs w:val="20"/>
        </w:rPr>
        <w:br/>
        <w:t xml:space="preserve"> Evidence: Liberman outlines the constitutional framework, including the Bill's precautionary Section 15 clause on acquisition of property, and the FCTC obligations under Articles 11 and 13. The High Court challenge (JT International [2012] HCA 43) filed and decided within the window confirmed constitutional validity. The PCA arbitration (Philip Morris Asia, filed 2011) and WTO disputes (DS435, DS441, filed 2012) confirm significant unresolved international legal exposure at window close. The WHO FCTC Article 11 Guidelines establish that plain packaging was positively recommended under the treaty framework Australia had ratified.</w:t>
      </w:r>
      <w:r w:rsidRPr="008A5256">
        <w:rPr>
          <w:sz w:val="20"/>
          <w:szCs w:val="20"/>
        </w:rPr>
        <w:br/>
        <w:t xml:space="preserve"> Phase 1 exception flagged: WHO FCTC Article 11 Guidelines (2008) used to establish the pre-existing international legal framework; in-window sources document the legal challenges but do not fully establish the treaty foundation without this Phase 1 source.</w:t>
      </w:r>
      <w:r w:rsidRPr="008A5256">
        <w:rPr>
          <w:sz w:val="20"/>
          <w:szCs w:val="20"/>
        </w:rPr>
        <w:br/>
        <w:t xml:space="preserve"> Confidence: High for constitutional dimension (High Court decision is in-window and definitive); Medium for </w:t>
      </w:r>
      <w:r w:rsidRPr="008A5256">
        <w:rPr>
          <w:sz w:val="20"/>
          <w:szCs w:val="20"/>
        </w:rPr>
        <w:lastRenderedPageBreak/>
        <w:t>international trade/investment dimension (disputes filed but unresolved at window close).</w:t>
      </w:r>
      <w:r w:rsidRPr="008A5256">
        <w:rPr>
          <w:sz w:val="20"/>
          <w:szCs w:val="20"/>
        </w:rPr>
        <w:br/>
        <w:t xml:space="preserve"> Source Tag: Liberman (2012); High Court (JT International); PCA (Philip Morris Asia); WTO (DS435/DS441); WHO FCTC Article 11 Guidelines [Phase 1 exception].</w:t>
      </w:r>
    </w:p>
    <w:p w14:paraId="6C4F6A2A" w14:textId="77777777" w:rsidR="00412F17" w:rsidRPr="008A5256" w:rsidRDefault="00412F17" w:rsidP="00043AF9">
      <w:pPr>
        <w:numPr>
          <w:ilvl w:val="0"/>
          <w:numId w:val="20"/>
        </w:numPr>
        <w:rPr>
          <w:sz w:val="20"/>
          <w:szCs w:val="20"/>
        </w:rPr>
      </w:pPr>
      <w:r w:rsidRPr="008A5256">
        <w:rPr>
          <w:sz w:val="20"/>
          <w:szCs w:val="20"/>
        </w:rPr>
        <w:t>Narrative dominance</w:t>
      </w:r>
      <w:r w:rsidRPr="008A5256">
        <w:rPr>
          <w:sz w:val="20"/>
          <w:szCs w:val="20"/>
        </w:rPr>
        <w:br/>
        <w:t xml:space="preserve"> Evidence: Liberman documents that the government and health NGOs maintained the "world-first public health measure" framing throughout and that the Bill passed despite the tobacco industry's multi-channel campaign. Cancer Council Australia (Landmark Victory) confirms the health coalition held the dominant institutional narrative. Liberman details the industry's counter-narratives (nanny state, illicit trade, constitutional risk, retailer harm) and shows each was actively rebutted — including by exposing the AAR's industry funding through the ABC Lateline investigation. The Parliament of Australia Inquiry and TPP Bill Record confirm the health framing prevailed in the legislative process.</w:t>
      </w:r>
      <w:r w:rsidRPr="008A5256">
        <w:rPr>
          <w:sz w:val="20"/>
          <w:szCs w:val="20"/>
        </w:rPr>
        <w:br/>
        <w:t xml:space="preserve"> Confidence: High — multiple sources confirm health-frame dominance in the decisive institutional arena; industry media presence was substantial but did not achieve narrative dominance in parliament or policy.</w:t>
      </w:r>
      <w:r w:rsidRPr="008A5256">
        <w:rPr>
          <w:sz w:val="20"/>
          <w:szCs w:val="20"/>
        </w:rPr>
        <w:br/>
        <w:t xml:space="preserve"> Source Tag: Liberman (2012); Cancer Council Australia (Landmark Victory); Parliament of Australia Inquiry; Parliament of Australia TPP Bill Record; Tobacco Tactics (BAT Lobbying).</w:t>
      </w:r>
    </w:p>
    <w:p w14:paraId="3DA8C7B1" w14:textId="77777777" w:rsidR="00412F17" w:rsidRPr="008A5256" w:rsidRDefault="00412F17" w:rsidP="00043AF9">
      <w:pPr>
        <w:numPr>
          <w:ilvl w:val="0"/>
          <w:numId w:val="20"/>
        </w:numPr>
        <w:rPr>
          <w:sz w:val="20"/>
          <w:szCs w:val="20"/>
        </w:rPr>
      </w:pPr>
      <w:r w:rsidRPr="008A5256">
        <w:rPr>
          <w:sz w:val="20"/>
          <w:szCs w:val="20"/>
        </w:rPr>
        <w:t>Notable Tactics</w:t>
      </w:r>
    </w:p>
    <w:p w14:paraId="0F01A3A6" w14:textId="77777777" w:rsidR="00412F17" w:rsidRPr="008A5256" w:rsidRDefault="00412F17" w:rsidP="00412F17">
      <w:pPr>
        <w:rPr>
          <w:sz w:val="20"/>
          <w:szCs w:val="20"/>
        </w:rPr>
      </w:pPr>
      <w:r w:rsidRPr="008A5256">
        <w:rPr>
          <w:sz w:val="20"/>
          <w:szCs w:val="20"/>
        </w:rPr>
        <w:t>a. Research-to-advocacy pipeline</w:t>
      </w:r>
      <w:r w:rsidRPr="008A5256">
        <w:rPr>
          <w:sz w:val="20"/>
          <w:szCs w:val="20"/>
        </w:rPr>
        <w:br/>
        <w:t xml:space="preserve"> Evidence: Cancer Council Australia (Leading the World) documents that the same researchers who generated the peer-reviewed evidence base (Chapman, Freeman, Scollo, Liberman/McCabe Centre) also co-authored the public advocacy case and contributed directly to the Taskforce report, collapsing the gap between evidence production and political deployment.</w:t>
      </w:r>
      <w:r w:rsidRPr="008A5256">
        <w:rPr>
          <w:sz w:val="20"/>
          <w:szCs w:val="20"/>
        </w:rPr>
        <w:br/>
        <w:t xml:space="preserve"> Confidence: High — directly evidenced in Cancer Council Australia (Leading the World) and confirmed by Liberman's authorship itself.</w:t>
      </w:r>
      <w:r w:rsidRPr="008A5256">
        <w:rPr>
          <w:sz w:val="20"/>
          <w:szCs w:val="20"/>
        </w:rPr>
        <w:br/>
        <w:t xml:space="preserve"> Source Tag: Cancer Council Australia (Leading the World); Liberman (2012).</w:t>
      </w:r>
    </w:p>
    <w:p w14:paraId="4CEFE2AF" w14:textId="77777777" w:rsidR="00412F17" w:rsidRPr="008A5256" w:rsidRDefault="00412F17" w:rsidP="00412F17">
      <w:pPr>
        <w:rPr>
          <w:sz w:val="20"/>
          <w:szCs w:val="20"/>
        </w:rPr>
      </w:pPr>
      <w:r w:rsidRPr="008A5256">
        <w:rPr>
          <w:sz w:val="20"/>
          <w:szCs w:val="20"/>
        </w:rPr>
        <w:t>b. Independent Taskforce as political insulation</w:t>
      </w:r>
      <w:r w:rsidRPr="008A5256">
        <w:rPr>
          <w:sz w:val="20"/>
          <w:szCs w:val="20"/>
        </w:rPr>
        <w:br/>
        <w:t xml:space="preserve"> Evidence: National Preventative Health Taskforce (Technical Report 2 and National Strategy, 2009) preceded and directly enabled the April 2010 ministerial announcement, documented in Liberman. The Taskforce process gave the government a mandate to act rather than a choice to initiate, insulating the Minister from appearing to act unilaterally.</w:t>
      </w:r>
      <w:r w:rsidRPr="008A5256">
        <w:rPr>
          <w:sz w:val="20"/>
          <w:szCs w:val="20"/>
        </w:rPr>
        <w:br/>
        <w:t xml:space="preserve"> Confidence: High — causal link between Taskforce recommendation and announcement explicitly documented in Liberman and both Taskforce sources.</w:t>
      </w:r>
      <w:r w:rsidRPr="008A5256">
        <w:rPr>
          <w:sz w:val="20"/>
          <w:szCs w:val="20"/>
        </w:rPr>
        <w:br/>
        <w:t xml:space="preserve"> Source Tag: National Preventative Health Taskforce (Technical Report 2); National Preventative Health Taskforce (National Strategy); Liberman (2012).</w:t>
      </w:r>
    </w:p>
    <w:p w14:paraId="29D82313" w14:textId="77777777" w:rsidR="00412F17" w:rsidRPr="008A5256" w:rsidRDefault="00412F17" w:rsidP="00412F17">
      <w:pPr>
        <w:rPr>
          <w:sz w:val="20"/>
          <w:szCs w:val="20"/>
        </w:rPr>
      </w:pPr>
      <w:r w:rsidRPr="008A5256">
        <w:rPr>
          <w:sz w:val="20"/>
          <w:szCs w:val="20"/>
        </w:rPr>
        <w:t>c. International treaty invocation as domestic cover</w:t>
      </w:r>
      <w:r w:rsidRPr="008A5256">
        <w:rPr>
          <w:sz w:val="20"/>
          <w:szCs w:val="20"/>
        </w:rPr>
        <w:br/>
        <w:t xml:space="preserve"> Evidence: Liberman documents that FCTC Article 13 guidelines explicitly recommend plain packaging and that both the FCTC Secretariat and WHO made formal submissions in favour of the Australian legislation. The WHO FCTC Article 11 Guidelines (Phase 1 source) establish the pre-existing treaty framework the government cited to position the policy as norm-compliance rather than overreach.</w:t>
      </w:r>
      <w:r w:rsidRPr="008A5256">
        <w:rPr>
          <w:sz w:val="20"/>
          <w:szCs w:val="20"/>
        </w:rPr>
        <w:br/>
        <w:t xml:space="preserve"> Confidence: High — explicitly documented in Liberman, cross-referenced against WHO FCTC Article 11 Guidelines.</w:t>
      </w:r>
      <w:r w:rsidRPr="008A5256">
        <w:rPr>
          <w:sz w:val="20"/>
          <w:szCs w:val="20"/>
        </w:rPr>
        <w:br/>
        <w:t xml:space="preserve"> Source Tag: Liberman (2012); WHO FCTC Article 11 Guidelines.</w:t>
      </w:r>
    </w:p>
    <w:p w14:paraId="63C65F06" w14:textId="77777777" w:rsidR="00412F17" w:rsidRPr="008A5256" w:rsidRDefault="00412F17" w:rsidP="00412F17">
      <w:pPr>
        <w:rPr>
          <w:sz w:val="20"/>
          <w:szCs w:val="20"/>
        </w:rPr>
      </w:pPr>
      <w:r w:rsidRPr="008A5256">
        <w:rPr>
          <w:sz w:val="20"/>
          <w:szCs w:val="20"/>
        </w:rPr>
        <w:t>d. Constitutional hedge built into legislation</w:t>
      </w:r>
      <w:r w:rsidRPr="008A5256">
        <w:rPr>
          <w:sz w:val="20"/>
          <w:szCs w:val="20"/>
        </w:rPr>
        <w:br/>
        <w:t xml:space="preserve"> Evidence: Liberman documents that the Bill included a Section 15 clause stating the Act would not apply to the extent a court found an unconstitutional acquisition of property — a deliberate drafting mechanism to neutralise the industry's compensation threat as a parliamentary blocking argument before the vote. The Parliament of Australia TPP Bill Record confirms the Bill's passage with this clause intact.</w:t>
      </w:r>
      <w:r w:rsidRPr="008A5256">
        <w:rPr>
          <w:sz w:val="20"/>
          <w:szCs w:val="20"/>
        </w:rPr>
        <w:br/>
        <w:t xml:space="preserve"> Confidence: High — legislative text cited directly by Liberman, confirmed by Parliament of Australia TPP Bill Record.</w:t>
      </w:r>
      <w:r w:rsidRPr="008A5256">
        <w:rPr>
          <w:sz w:val="20"/>
          <w:szCs w:val="20"/>
        </w:rPr>
        <w:br/>
        <w:t xml:space="preserve"> Source Tag: Liberman (2012); Parliament of Australia TPP Bill Record.</w:t>
      </w:r>
    </w:p>
    <w:p w14:paraId="4C386230" w14:textId="77777777" w:rsidR="00412F17" w:rsidRPr="008A5256" w:rsidRDefault="00412F17" w:rsidP="00412F17">
      <w:pPr>
        <w:rPr>
          <w:sz w:val="20"/>
          <w:szCs w:val="20"/>
        </w:rPr>
      </w:pPr>
      <w:r w:rsidRPr="008A5256">
        <w:rPr>
          <w:sz w:val="20"/>
          <w:szCs w:val="20"/>
        </w:rPr>
        <w:t>e. Front-group exposure via media investigation</w:t>
      </w:r>
      <w:r w:rsidRPr="008A5256">
        <w:rPr>
          <w:sz w:val="20"/>
          <w:szCs w:val="20"/>
        </w:rPr>
        <w:br/>
        <w:t xml:space="preserve"> Evidence: Liberman documents that ABC TV's Lateline published leaked internal documents in September 2010 revealing the full extent of tobacco manufacturer involvement in the AAR campaign, including the $5.3 million founding payment and The Civic Group's management role. SourceWatch (AAR) and Tobacco Tactics (BAT Lobbying) independently confirm </w:t>
      </w:r>
      <w:r w:rsidRPr="008A5256">
        <w:rPr>
          <w:sz w:val="20"/>
          <w:szCs w:val="20"/>
        </w:rPr>
        <w:lastRenderedPageBreak/>
        <w:t>the financial flows and front-group architecture. This exposure publicly discredited the industry's small-business proxy narrative at a critical campaign moment.</w:t>
      </w:r>
      <w:r w:rsidRPr="008A5256">
        <w:rPr>
          <w:sz w:val="20"/>
          <w:szCs w:val="20"/>
        </w:rPr>
        <w:br/>
        <w:t xml:space="preserve"> Confidence: High — documented across three independent sources with specific financial figures.</w:t>
      </w:r>
      <w:r w:rsidRPr="008A5256">
        <w:rPr>
          <w:sz w:val="20"/>
          <w:szCs w:val="20"/>
        </w:rPr>
        <w:br/>
        <w:t xml:space="preserve"> Source Tag: Liberman (2012); SourceWatch (AAR); Tobacco Tactics (BAT Lobbying).</w:t>
      </w:r>
    </w:p>
    <w:p w14:paraId="2A1BB2B1" w14:textId="77777777" w:rsidR="00412F17" w:rsidRPr="008A5256" w:rsidRDefault="00641196" w:rsidP="00412F17">
      <w:pPr>
        <w:rPr>
          <w:sz w:val="20"/>
          <w:szCs w:val="20"/>
        </w:rPr>
      </w:pPr>
      <w:r>
        <w:rPr>
          <w:sz w:val="20"/>
          <w:szCs w:val="20"/>
        </w:rPr>
        <w:pict w14:anchorId="639306A9">
          <v:rect id="_x0000_i1045" style="width:0;height:1.5pt" o:hralign="center" o:hrstd="t" o:hr="t" fillcolor="#a0a0a0" stroked="f"/>
        </w:pict>
      </w:r>
    </w:p>
    <w:p w14:paraId="03A2EF52" w14:textId="77777777" w:rsidR="00412F17" w:rsidRPr="008A5256" w:rsidRDefault="00412F17" w:rsidP="00412F17">
      <w:pPr>
        <w:rPr>
          <w:sz w:val="20"/>
          <w:szCs w:val="20"/>
        </w:rPr>
      </w:pPr>
      <w:r w:rsidRPr="008A5256">
        <w:rPr>
          <w:b/>
          <w:bCs/>
          <w:sz w:val="20"/>
          <w:szCs w:val="20"/>
        </w:rPr>
        <w:t>SOURCE-TO-VARIABLE MAPPING</w:t>
      </w:r>
    </w:p>
    <w:p w14:paraId="1CC3C70D" w14:textId="77777777" w:rsidR="00412F17" w:rsidRPr="008A5256" w:rsidRDefault="00412F17" w:rsidP="00412F17">
      <w:pPr>
        <w:rPr>
          <w:sz w:val="20"/>
          <w:szCs w:val="20"/>
        </w:rPr>
      </w:pPr>
      <w:r w:rsidRPr="008A5256">
        <w:rPr>
          <w:sz w:val="20"/>
          <w:szCs w:val="20"/>
        </w:rPr>
        <w:t>Liberman (2012) — 1, 2, 3, 4, 5, 6, 7, 8, 9, 10, 11, 12, 13, 14, 15a, 15b, 15c, 15d, 15e</w:t>
      </w:r>
      <w:r w:rsidRPr="008A5256">
        <w:rPr>
          <w:sz w:val="20"/>
          <w:szCs w:val="20"/>
        </w:rPr>
        <w:br/>
        <w:t xml:space="preserve"> Cancer Council Australia (Landmark Victory) — 1, 7, 8, 11, 14</w:t>
      </w:r>
      <w:r w:rsidRPr="008A5256">
        <w:rPr>
          <w:sz w:val="20"/>
          <w:szCs w:val="20"/>
        </w:rPr>
        <w:br/>
        <w:t xml:space="preserve"> Cancer Council Australia (Leading the World) — 5, 8, 12, 15a</w:t>
      </w:r>
      <w:r w:rsidRPr="008A5256">
        <w:rPr>
          <w:sz w:val="20"/>
          <w:szCs w:val="20"/>
        </w:rPr>
        <w:br/>
        <w:t xml:space="preserve"> Cancer Council Australia (Plain Packaging Evidence Review) — 6</w:t>
      </w:r>
      <w:r w:rsidRPr="008A5256">
        <w:rPr>
          <w:sz w:val="20"/>
          <w:szCs w:val="20"/>
        </w:rPr>
        <w:br/>
        <w:t xml:space="preserve"> National Preventative Health Taskforce (Technical Report 2) — 15b</w:t>
      </w:r>
      <w:r w:rsidRPr="008A5256">
        <w:rPr>
          <w:sz w:val="20"/>
          <w:szCs w:val="20"/>
        </w:rPr>
        <w:br/>
        <w:t xml:space="preserve"> National Preventative Health Taskforce (National Strategy) — 15b</w:t>
      </w:r>
      <w:r w:rsidRPr="008A5256">
        <w:rPr>
          <w:sz w:val="20"/>
          <w:szCs w:val="20"/>
        </w:rPr>
        <w:br/>
        <w:t xml:space="preserve"> WHO FCTC Article 11 Guidelines — 13 [Phase 1 exception], 15c</w:t>
      </w:r>
      <w:r w:rsidRPr="008A5256">
        <w:rPr>
          <w:sz w:val="20"/>
          <w:szCs w:val="20"/>
        </w:rPr>
        <w:br/>
        <w:t xml:space="preserve"> Parliament of Australia Inquiry — 1, 2, 5, 8, 14</w:t>
      </w:r>
      <w:r w:rsidRPr="008A5256">
        <w:rPr>
          <w:sz w:val="20"/>
          <w:szCs w:val="20"/>
        </w:rPr>
        <w:br/>
        <w:t xml:space="preserve"> Parliament of Australia TPP Bill Record — 2, 7, 10, 11, 13, 14, 15d</w:t>
      </w:r>
      <w:r w:rsidRPr="008A5256">
        <w:rPr>
          <w:sz w:val="20"/>
          <w:szCs w:val="20"/>
        </w:rPr>
        <w:br/>
        <w:t xml:space="preserve"> SourceWatch (AAR) — 3, 4, 15e</w:t>
      </w:r>
      <w:r w:rsidRPr="008A5256">
        <w:rPr>
          <w:sz w:val="20"/>
          <w:szCs w:val="20"/>
        </w:rPr>
        <w:br/>
        <w:t xml:space="preserve"> Tobacco Tactics (BAT Lobbying) — 3, 4, 9, 14, 15e</w:t>
      </w:r>
      <w:r w:rsidRPr="008A5256">
        <w:rPr>
          <w:sz w:val="20"/>
          <w:szCs w:val="20"/>
        </w:rPr>
        <w:br/>
        <w:t xml:space="preserve"> High Court (JT International) — 3, 13</w:t>
      </w:r>
      <w:r w:rsidRPr="008A5256">
        <w:rPr>
          <w:sz w:val="20"/>
          <w:szCs w:val="20"/>
        </w:rPr>
        <w:br/>
        <w:t xml:space="preserve"> PCA (Philip Morris Asia) — 3, 4, 9, 13</w:t>
      </w:r>
      <w:r w:rsidRPr="008A5256">
        <w:rPr>
          <w:sz w:val="20"/>
          <w:szCs w:val="20"/>
        </w:rPr>
        <w:br/>
        <w:t xml:space="preserve"> WTO (DS435/DS441) — 11, 13</w:t>
      </w:r>
    </w:p>
    <w:p w14:paraId="5D1B4260" w14:textId="5185940C" w:rsidR="00577529" w:rsidRPr="008A5256" w:rsidRDefault="00577529" w:rsidP="00412F17">
      <w:pPr>
        <w:rPr>
          <w:sz w:val="20"/>
          <w:szCs w:val="20"/>
        </w:rPr>
      </w:pPr>
      <w:r w:rsidRPr="008A5256">
        <w:rPr>
          <w:sz w:val="20"/>
          <w:szCs w:val="20"/>
        </w:rPr>
        <w:t>Swift et al. 2014 (ITC Four Country Survey) — 12</w:t>
      </w:r>
    </w:p>
    <w:p w14:paraId="1DB80249" w14:textId="77777777" w:rsidR="00412F17" w:rsidRPr="008A5256" w:rsidRDefault="00641196" w:rsidP="00412F17">
      <w:pPr>
        <w:rPr>
          <w:sz w:val="20"/>
          <w:szCs w:val="20"/>
        </w:rPr>
      </w:pPr>
      <w:r>
        <w:rPr>
          <w:sz w:val="20"/>
          <w:szCs w:val="20"/>
        </w:rPr>
        <w:pict w14:anchorId="1A736594">
          <v:rect id="_x0000_i1046" style="width:0;height:1.5pt" o:hralign="center" o:hrstd="t" o:hr="t" fillcolor="#a0a0a0" stroked="f"/>
        </w:pict>
      </w:r>
    </w:p>
    <w:p w14:paraId="373C65B7" w14:textId="77777777" w:rsidR="00412F17" w:rsidRPr="008A5256" w:rsidRDefault="00412F17" w:rsidP="00412F17">
      <w:pPr>
        <w:rPr>
          <w:sz w:val="20"/>
          <w:szCs w:val="20"/>
        </w:rPr>
      </w:pPr>
      <w:r w:rsidRPr="008A5256">
        <w:rPr>
          <w:b/>
          <w:bCs/>
          <w:sz w:val="20"/>
          <w:szCs w:val="20"/>
        </w:rPr>
        <w:t>OBSERVATION</w:t>
      </w:r>
    </w:p>
    <w:p w14:paraId="2316E3FD" w14:textId="77777777" w:rsidR="00412F17" w:rsidRPr="008A5256" w:rsidRDefault="00412F17" w:rsidP="00412F17">
      <w:pPr>
        <w:rPr>
          <w:sz w:val="20"/>
          <w:szCs w:val="20"/>
        </w:rPr>
      </w:pPr>
      <w:r w:rsidRPr="008A5256">
        <w:rPr>
          <w:sz w:val="20"/>
          <w:szCs w:val="20"/>
        </w:rPr>
        <w:t>Liberman (2012) carries evidence across all 15 variables, making it the single most load-bearing source in this coding. This is a source concentration risk — the coding is heavily dependent on one chapter. The Cancer Council Australia sources, parliamentary records, SourceWatch, and Tobacco Tactics provide meaningful independent corroboration across approximately half the variables. Variables 9 and 12 remain substantially dependent on Liberman plus one other source. Notable Tactic 15e (front-group exposure) is the best-distributed tactic, confirmed across three independent sources with specific financial figures.</w:t>
      </w:r>
    </w:p>
    <w:p w14:paraId="403537D4" w14:textId="77777777" w:rsidR="00412F17" w:rsidRPr="008A5256" w:rsidRDefault="00641196" w:rsidP="00412F17">
      <w:pPr>
        <w:rPr>
          <w:sz w:val="20"/>
          <w:szCs w:val="20"/>
        </w:rPr>
      </w:pPr>
      <w:r>
        <w:rPr>
          <w:sz w:val="20"/>
          <w:szCs w:val="20"/>
        </w:rPr>
        <w:pict w14:anchorId="580C8C9F">
          <v:rect id="_x0000_i1047" style="width:0;height:1.5pt" o:hralign="center" o:hrstd="t" o:hr="t" fillcolor="#a0a0a0" stroked="f"/>
        </w:pict>
      </w:r>
    </w:p>
    <w:p w14:paraId="54AB8E77" w14:textId="77777777" w:rsidR="00412F17" w:rsidRPr="008A5256" w:rsidRDefault="00412F17" w:rsidP="00412F17">
      <w:pPr>
        <w:rPr>
          <w:sz w:val="20"/>
          <w:szCs w:val="20"/>
        </w:rPr>
      </w:pPr>
      <w:r w:rsidRPr="008A5256">
        <w:rPr>
          <w:b/>
          <w:bCs/>
          <w:sz w:val="20"/>
          <w:szCs w:val="20"/>
        </w:rPr>
        <w:t>CASE-LEVEL SUMMARY</w:t>
      </w:r>
    </w:p>
    <w:p w14:paraId="54854BE3" w14:textId="77777777" w:rsidR="00412F17" w:rsidRPr="008A5256" w:rsidRDefault="00412F17" w:rsidP="00412F17">
      <w:pPr>
        <w:rPr>
          <w:sz w:val="20"/>
          <w:szCs w:val="20"/>
        </w:rPr>
      </w:pPr>
      <w:r w:rsidRPr="008A5256">
        <w:rPr>
          <w:sz w:val="20"/>
          <w:szCs w:val="20"/>
        </w:rPr>
        <w:t>Variables coded at Low confidence or marked Insufficient: None.</w:t>
      </w:r>
      <w:r w:rsidRPr="008A5256">
        <w:rPr>
          <w:sz w:val="20"/>
          <w:szCs w:val="20"/>
        </w:rPr>
        <w:br/>
        <w:t xml:space="preserve"> Variables coded at Medium confidence:</w:t>
      </w:r>
      <w:r w:rsidRPr="008A5256">
        <w:rPr>
          <w:sz w:val="20"/>
          <w:szCs w:val="20"/>
        </w:rPr>
        <w:br/>
        <w:t xml:space="preserve"> Variable 8 (Coalition size) — domestic coalition composition confirmed but not enumerated in detail; absence of non-health allies is an inference from the source set rather than a confirmed negative.</w:t>
      </w:r>
      <w:r w:rsidRPr="008A5256">
        <w:rPr>
          <w:sz w:val="20"/>
          <w:szCs w:val="20"/>
        </w:rPr>
        <w:br/>
        <w:t xml:space="preserve"> Variable 9 (Economic disruption) — manufacturer-level impact well-supported but scale contested; broader economy not independently documented in locked sources.</w:t>
      </w:r>
      <w:r w:rsidRPr="008A5256">
        <w:rPr>
          <w:sz w:val="20"/>
          <w:szCs w:val="20"/>
        </w:rPr>
        <w:br/>
        <w:t xml:space="preserve"> Variable 12 (Public sentiment) — favourable starting point strongly implied but no polling data in locked source set to quantify plain-packaging-specific support at April 2010.</w:t>
      </w:r>
      <w:r w:rsidRPr="008A5256">
        <w:rPr>
          <w:sz w:val="20"/>
          <w:szCs w:val="20"/>
        </w:rPr>
        <w:br/>
        <w:t xml:space="preserve"> Variable 13 (Legal/regulatory landscape) — Medium confidence on international trade/investment dimension only; constitutional dimension is High.</w:t>
      </w:r>
      <w:r w:rsidRPr="008A5256">
        <w:rPr>
          <w:sz w:val="20"/>
          <w:szCs w:val="20"/>
        </w:rPr>
        <w:br/>
        <w:t xml:space="preserve"> Phase 1 exception used: Variable 13 and Notable Tactic 15c — WHO FCTC Article 11 Guidelines (2008), flagged above.</w:t>
      </w:r>
    </w:p>
    <w:p w14:paraId="18BD2972" w14:textId="77777777" w:rsidR="00412F17" w:rsidRPr="008A5256" w:rsidRDefault="00412F17" w:rsidP="00412F17">
      <w:pPr>
        <w:rPr>
          <w:sz w:val="20"/>
          <w:szCs w:val="20"/>
        </w:rPr>
      </w:pPr>
      <w:r w:rsidRPr="008A5256">
        <w:rPr>
          <w:b/>
          <w:bCs/>
          <w:sz w:val="20"/>
          <w:szCs w:val="20"/>
        </w:rPr>
        <w:t>OVERALL CASE CONFIDENCE/QUALITY FLAG</w:t>
      </w:r>
      <w:r w:rsidRPr="008A5256">
        <w:rPr>
          <w:b/>
          <w:bCs/>
          <w:sz w:val="20"/>
          <w:szCs w:val="20"/>
        </w:rPr>
        <w:br/>
      </w:r>
      <w:r w:rsidRPr="008A5256">
        <w:rPr>
          <w:sz w:val="20"/>
          <w:szCs w:val="20"/>
        </w:rPr>
        <w:t xml:space="preserve"> Medium-High. Eleven of fourteen substantive variables sit at High confidence with multi-source corroboration; three at Medium, all for the same structural reason — the locked source set is strong on the legislative and contestation record but thinner on quantitative public sentiment data and detailed coalition composition. Liberman's dominance across all variables is a concentration risk that would ideally be addressed by adding a second broad-context in-window source in a future source review.</w:t>
      </w:r>
    </w:p>
    <w:p w14:paraId="2BEBB60F" w14:textId="77777777" w:rsidR="00412F17" w:rsidRPr="008A5256" w:rsidRDefault="00641196" w:rsidP="00412F17">
      <w:pPr>
        <w:rPr>
          <w:sz w:val="20"/>
          <w:szCs w:val="20"/>
        </w:rPr>
      </w:pPr>
      <w:r>
        <w:rPr>
          <w:sz w:val="20"/>
          <w:szCs w:val="20"/>
        </w:rPr>
        <w:lastRenderedPageBreak/>
        <w:pict w14:anchorId="747B8FE4">
          <v:rect id="_x0000_i1048" style="width:0;height:1.5pt" o:hralign="center" o:hrstd="t" o:hr="t" fillcolor="#a0a0a0" stroked="f"/>
        </w:pict>
      </w:r>
    </w:p>
    <w:p w14:paraId="0CB42768" w14:textId="77777777" w:rsidR="00412F17" w:rsidRPr="008A5256" w:rsidRDefault="00412F17" w:rsidP="00412F17">
      <w:pPr>
        <w:rPr>
          <w:sz w:val="20"/>
          <w:szCs w:val="20"/>
        </w:rPr>
      </w:pPr>
      <w:r w:rsidRPr="008A5256">
        <w:rPr>
          <w:b/>
          <w:bCs/>
          <w:sz w:val="20"/>
          <w:szCs w:val="20"/>
        </w:rPr>
        <w:t>HINDSIGHT NOTES</w:t>
      </w:r>
    </w:p>
    <w:p w14:paraId="76587EF8" w14:textId="77777777" w:rsidR="00412F17" w:rsidRPr="008A5256" w:rsidRDefault="00412F17" w:rsidP="00412F17">
      <w:pPr>
        <w:rPr>
          <w:sz w:val="20"/>
          <w:szCs w:val="20"/>
        </w:rPr>
      </w:pPr>
      <w:r w:rsidRPr="008A5256">
        <w:rPr>
          <w:sz w:val="20"/>
          <w:szCs w:val="20"/>
        </w:rPr>
        <w:t>Variable 9 (Economic disruption) — Phase 4 evidence (Post-Implementation Review 2016; Scollo et al. 2015) would likely moderate the coding, suggesting retailer impact claims were overstated and broader economic disruption was minimal; not used in coding above.</w:t>
      </w:r>
      <w:r w:rsidRPr="008A5256">
        <w:rPr>
          <w:sz w:val="20"/>
          <w:szCs w:val="20"/>
        </w:rPr>
        <w:br/>
        <w:t xml:space="preserve"> Variable 11 (Scale of change achieved) — Phase 4 evidence confirms world-first status catalysed adoption in other jurisdictions (UK, France, Ireland, New Zealand), potentially warranting an upward revision to transformative/globally generative; not used in coding above.</w:t>
      </w:r>
      <w:r w:rsidRPr="008A5256">
        <w:rPr>
          <w:sz w:val="20"/>
          <w:szCs w:val="20"/>
        </w:rPr>
        <w:br/>
        <w:t xml:space="preserve"> Variable 13 (Legal/regulatory landscape) — Phase 4 evidence (WTO Appellate Body 2020; PCA dismissal 2015) would strengthen the permissive coding substantially, confirming Australia's position was vindicated across all legal fronts; not used in coding above.</w:t>
      </w:r>
      <w:r w:rsidRPr="008A5256">
        <w:rPr>
          <w:sz w:val="20"/>
          <w:szCs w:val="20"/>
        </w:rPr>
        <w:br/>
        <w:t xml:space="preserve"> Variable 14 (Narrative dominance) — Phase 4 evidence (Scollo et al. BMJ Open 2018, "Presenting a Strong and United Front") provides a detailed post-window account of how the health coalition maintained narrative cohesion against industry interference; would reinforce the High confidence coding but is not used above.</w:t>
      </w:r>
    </w:p>
    <w:p w14:paraId="70E7E938" w14:textId="14AF3187" w:rsidR="005E3E75" w:rsidRDefault="005E3E75" w:rsidP="005E3E75">
      <w:pPr>
        <w:pStyle w:val="Heading1"/>
      </w:pPr>
      <w:r>
        <w:t>CASE 1</w:t>
      </w:r>
      <w:r w:rsidR="0082197F">
        <w:t>1</w:t>
      </w:r>
      <w:r>
        <w:t>: #MeToo workplace harassment norm shift</w:t>
      </w:r>
    </w:p>
    <w:p w14:paraId="1BDDC32A" w14:textId="77777777" w:rsidR="00B26EF2" w:rsidRPr="005A06EA" w:rsidRDefault="00B26EF2" w:rsidP="00B26EF2">
      <w:pPr>
        <w:rPr>
          <w:b/>
          <w:bCs/>
          <w:sz w:val="20"/>
          <w:szCs w:val="20"/>
        </w:rPr>
      </w:pPr>
      <w:r w:rsidRPr="005A06EA">
        <w:rPr>
          <w:sz w:val="20"/>
          <w:szCs w:val="20"/>
        </w:rPr>
        <w:t>LIST B — EVIDENCE / CONFIDENCE / SOURCE TAG</w:t>
      </w:r>
    </w:p>
    <w:p w14:paraId="2594EFA9" w14:textId="77777777" w:rsidR="00B26EF2" w:rsidRPr="005A06EA" w:rsidRDefault="00B26EF2" w:rsidP="00043AF9">
      <w:pPr>
        <w:numPr>
          <w:ilvl w:val="0"/>
          <w:numId w:val="30"/>
        </w:numPr>
        <w:rPr>
          <w:sz w:val="20"/>
          <w:szCs w:val="20"/>
        </w:rPr>
      </w:pPr>
      <w:r w:rsidRPr="005A06EA">
        <w:rPr>
          <w:b/>
          <w:bCs/>
          <w:sz w:val="20"/>
          <w:szCs w:val="20"/>
        </w:rPr>
        <w:t>Target type</w:t>
      </w:r>
      <w:r w:rsidRPr="005A06EA">
        <w:rPr>
          <w:b/>
          <w:bCs/>
          <w:sz w:val="20"/>
          <w:szCs w:val="20"/>
        </w:rPr>
        <w:br/>
      </w:r>
      <w:r w:rsidRPr="005A06EA">
        <w:rPr>
          <w:sz w:val="20"/>
          <w:szCs w:val="20"/>
        </w:rPr>
        <w:t xml:space="preserve"> Evidence: Coverage centres on individuals' employers and institutions (Hollywood, judiciary, workplaces generally) while a parallel legislative strand culminates in a federal statute.</w:t>
      </w:r>
      <w:r w:rsidRPr="005A06EA">
        <w:rPr>
          <w:sz w:val="20"/>
          <w:szCs w:val="20"/>
        </w:rPr>
        <w:br/>
        <w:t xml:space="preserve"> Confidence: Medium — inferred from combining Phase 1/3/4 sources; no single source states "target type" directly.</w:t>
      </w:r>
      <w:r w:rsidRPr="005A06EA">
        <w:rPr>
          <w:sz w:val="20"/>
          <w:szCs w:val="20"/>
        </w:rPr>
        <w:br/>
        <w:t xml:space="preserve"> Source Tag: #1 (TIME), #4 (Speak Out Act), #5 (Senate testimony).</w:t>
      </w:r>
    </w:p>
    <w:p w14:paraId="5DBAF238" w14:textId="77777777" w:rsidR="00B26EF2" w:rsidRPr="005A06EA" w:rsidRDefault="00B26EF2" w:rsidP="00043AF9">
      <w:pPr>
        <w:numPr>
          <w:ilvl w:val="0"/>
          <w:numId w:val="30"/>
        </w:numPr>
        <w:rPr>
          <w:sz w:val="20"/>
          <w:szCs w:val="20"/>
        </w:rPr>
      </w:pPr>
      <w:r w:rsidRPr="005A06EA">
        <w:rPr>
          <w:b/>
          <w:bCs/>
          <w:sz w:val="20"/>
          <w:szCs w:val="20"/>
        </w:rPr>
        <w:t>Concentration of decision-making power</w:t>
      </w:r>
      <w:r w:rsidRPr="005A06EA">
        <w:rPr>
          <w:b/>
          <w:bCs/>
          <w:sz w:val="20"/>
          <w:szCs w:val="20"/>
        </w:rPr>
        <w:br/>
      </w:r>
      <w:r w:rsidRPr="005A06EA">
        <w:rPr>
          <w:sz w:val="20"/>
          <w:szCs w:val="20"/>
        </w:rPr>
        <w:t xml:space="preserve"> Evidence: Harm and required behaviour change are described across countless individual workplaces; the legislative fix required action from one body (Congress).</w:t>
      </w:r>
      <w:r w:rsidRPr="005A06EA">
        <w:rPr>
          <w:sz w:val="20"/>
          <w:szCs w:val="20"/>
        </w:rPr>
        <w:br/>
        <w:t xml:space="preserve"> Confidence: Medium — inferred from breadth of testimony plus narrow legislative mechanism.</w:t>
      </w:r>
      <w:r w:rsidRPr="005A06EA">
        <w:rPr>
          <w:sz w:val="20"/>
          <w:szCs w:val="20"/>
        </w:rPr>
        <w:br/>
        <w:t xml:space="preserve"> Source Tag: #1, #4.</w:t>
      </w:r>
    </w:p>
    <w:p w14:paraId="67EB47A7" w14:textId="77777777" w:rsidR="00B26EF2" w:rsidRPr="005A06EA" w:rsidRDefault="00B26EF2" w:rsidP="00043AF9">
      <w:pPr>
        <w:numPr>
          <w:ilvl w:val="0"/>
          <w:numId w:val="30"/>
        </w:numPr>
        <w:rPr>
          <w:sz w:val="20"/>
          <w:szCs w:val="20"/>
        </w:rPr>
      </w:pPr>
      <w:r w:rsidRPr="005A06EA">
        <w:rPr>
          <w:b/>
          <w:bCs/>
          <w:sz w:val="20"/>
          <w:szCs w:val="20"/>
        </w:rPr>
        <w:t>Strength of opposition</w:t>
      </w:r>
      <w:r w:rsidRPr="005A06EA">
        <w:rPr>
          <w:b/>
          <w:bCs/>
          <w:sz w:val="20"/>
          <w:szCs w:val="20"/>
        </w:rPr>
        <w:br/>
      </w:r>
      <w:r w:rsidRPr="005A06EA">
        <w:rPr>
          <w:sz w:val="20"/>
          <w:szCs w:val="20"/>
        </w:rPr>
        <w:t xml:space="preserve"> Evidence: No locked source documents an organised counter-campaign or industry lobby against the movement; resistance shown is institutional/legal (NDAs, arbitration) rather than a coordinated opposing actor.</w:t>
      </w:r>
      <w:r w:rsidRPr="005A06EA">
        <w:rPr>
          <w:sz w:val="20"/>
          <w:szCs w:val="20"/>
        </w:rPr>
        <w:br/>
        <w:t xml:space="preserve"> Confidence: Low — absence of evidence is itself informative but not direct; state gap explicitly.</w:t>
      </w:r>
      <w:r w:rsidRPr="005A06EA">
        <w:rPr>
          <w:sz w:val="20"/>
          <w:szCs w:val="20"/>
        </w:rPr>
        <w:br/>
        <w:t xml:space="preserve"> Source Tag: #4, #5.</w:t>
      </w:r>
    </w:p>
    <w:p w14:paraId="4828AE6E" w14:textId="77777777" w:rsidR="00B26EF2" w:rsidRPr="005A06EA" w:rsidRDefault="00B26EF2" w:rsidP="00043AF9">
      <w:pPr>
        <w:numPr>
          <w:ilvl w:val="0"/>
          <w:numId w:val="30"/>
        </w:numPr>
        <w:rPr>
          <w:sz w:val="20"/>
          <w:szCs w:val="20"/>
        </w:rPr>
      </w:pPr>
      <w:r w:rsidRPr="005A06EA">
        <w:rPr>
          <w:b/>
          <w:bCs/>
          <w:sz w:val="20"/>
          <w:szCs w:val="20"/>
        </w:rPr>
        <w:t>Type of opposition</w:t>
      </w:r>
      <w:r w:rsidRPr="005A06EA">
        <w:rPr>
          <w:b/>
          <w:bCs/>
          <w:sz w:val="20"/>
          <w:szCs w:val="20"/>
        </w:rPr>
        <w:br/>
      </w:r>
      <w:r w:rsidRPr="005A06EA">
        <w:rPr>
          <w:sz w:val="20"/>
          <w:szCs w:val="20"/>
        </w:rPr>
        <w:t xml:space="preserve"> Evidence: Senate Judiciary testimony documents institutional resistance within the federal judiciary's harassment-handling processes; Speak Out Act's existence implies NDAs/arbitration had been used defensively.</w:t>
      </w:r>
      <w:r w:rsidRPr="005A06EA">
        <w:rPr>
          <w:sz w:val="20"/>
          <w:szCs w:val="20"/>
        </w:rPr>
        <w:br/>
        <w:t xml:space="preserve"> Confidence: Medium — testimony is direct evidence of institutional friction; arbitration/NDA use as opposition is inferred from the remedial statute's existence rather than directly documented as "opposition tactic."</w:t>
      </w:r>
      <w:r w:rsidRPr="005A06EA">
        <w:rPr>
          <w:sz w:val="20"/>
          <w:szCs w:val="20"/>
        </w:rPr>
        <w:br/>
        <w:t xml:space="preserve"> Source Tag: #5, #4.</w:t>
      </w:r>
    </w:p>
    <w:p w14:paraId="5BB886DA" w14:textId="77777777" w:rsidR="00B26EF2" w:rsidRPr="005A06EA" w:rsidRDefault="00B26EF2" w:rsidP="00043AF9">
      <w:pPr>
        <w:numPr>
          <w:ilvl w:val="0"/>
          <w:numId w:val="30"/>
        </w:numPr>
        <w:rPr>
          <w:sz w:val="20"/>
          <w:szCs w:val="20"/>
        </w:rPr>
      </w:pPr>
      <w:r w:rsidRPr="005A06EA">
        <w:rPr>
          <w:b/>
          <w:bCs/>
          <w:sz w:val="20"/>
          <w:szCs w:val="20"/>
        </w:rPr>
        <w:t>Visibility of harm to the public</w:t>
      </w:r>
      <w:r w:rsidRPr="005A06EA">
        <w:rPr>
          <w:b/>
          <w:bCs/>
          <w:sz w:val="20"/>
          <w:szCs w:val="20"/>
        </w:rPr>
        <w:br/>
      </w:r>
      <w:r w:rsidRPr="005A06EA">
        <w:rPr>
          <w:sz w:val="20"/>
          <w:szCs w:val="20"/>
        </w:rPr>
        <w:t xml:space="preserve"> Evidence: "The Silence Breakers" cover story made testimony from multiple women publicly visible and was explicitly framed as a mass, named phenomenon.</w:t>
      </w:r>
      <w:r w:rsidRPr="005A06EA">
        <w:rPr>
          <w:sz w:val="20"/>
          <w:szCs w:val="20"/>
        </w:rPr>
        <w:br/>
        <w:t xml:space="preserve"> Confidence: High — primary Phase 1 source directly documents visibility at campaign emergence.</w:t>
      </w:r>
      <w:r w:rsidRPr="005A06EA">
        <w:rPr>
          <w:sz w:val="20"/>
          <w:szCs w:val="20"/>
        </w:rPr>
        <w:br/>
        <w:t xml:space="preserve"> Source Tag: #1.</w:t>
      </w:r>
    </w:p>
    <w:p w14:paraId="511A51AE" w14:textId="73270710" w:rsidR="00B26EF2" w:rsidRPr="005A06EA" w:rsidRDefault="00B26EF2" w:rsidP="00043AF9">
      <w:pPr>
        <w:numPr>
          <w:ilvl w:val="0"/>
          <w:numId w:val="30"/>
        </w:numPr>
        <w:rPr>
          <w:sz w:val="20"/>
          <w:szCs w:val="20"/>
        </w:rPr>
      </w:pPr>
      <w:r w:rsidRPr="005A06EA">
        <w:rPr>
          <w:b/>
          <w:bCs/>
          <w:sz w:val="20"/>
          <w:szCs w:val="20"/>
        </w:rPr>
        <w:t>Degree of behaviour change required</w:t>
      </w:r>
      <w:r w:rsidRPr="005A06EA">
        <w:rPr>
          <w:b/>
          <w:bCs/>
          <w:sz w:val="20"/>
          <w:szCs w:val="20"/>
        </w:rPr>
        <w:br/>
      </w:r>
      <w:r w:rsidRPr="005A06EA">
        <w:rPr>
          <w:sz w:val="20"/>
          <w:szCs w:val="20"/>
        </w:rPr>
        <w:t xml:space="preserve"> Evidence: EEOC's reconvened task force and subsequent data reporting indicate the ask spans workplace culture, reporting structures, and complaint-handling — not a single corporate policy tweak.</w:t>
      </w:r>
      <w:r w:rsidRPr="005A06EA">
        <w:rPr>
          <w:sz w:val="20"/>
          <w:szCs w:val="20"/>
        </w:rPr>
        <w:br/>
        <w:t xml:space="preserve"> Confidence: Medium — inferred from scope of EEOC's mandate and statutory scope, not a single source stating </w:t>
      </w:r>
      <w:r w:rsidRPr="005A06EA">
        <w:rPr>
          <w:sz w:val="20"/>
          <w:szCs w:val="20"/>
        </w:rPr>
        <w:lastRenderedPageBreak/>
        <w:t>"degree of change" explicitly.</w:t>
      </w:r>
      <w:r w:rsidRPr="005A06EA">
        <w:rPr>
          <w:sz w:val="20"/>
          <w:szCs w:val="20"/>
        </w:rPr>
        <w:br/>
        <w:t xml:space="preserve"> Source Tag: #3, #6.</w:t>
      </w:r>
      <w:r w:rsidRPr="005A06EA">
        <w:rPr>
          <w:sz w:val="20"/>
          <w:szCs w:val="20"/>
        </w:rPr>
        <w:br/>
      </w:r>
    </w:p>
    <w:p w14:paraId="79BC5D0B" w14:textId="77777777" w:rsidR="00B26EF2" w:rsidRPr="005A06EA" w:rsidRDefault="00B26EF2" w:rsidP="00043AF9">
      <w:pPr>
        <w:numPr>
          <w:ilvl w:val="0"/>
          <w:numId w:val="30"/>
        </w:numPr>
        <w:rPr>
          <w:sz w:val="20"/>
          <w:szCs w:val="20"/>
        </w:rPr>
      </w:pPr>
      <w:r w:rsidRPr="005A06EA">
        <w:rPr>
          <w:b/>
          <w:bCs/>
          <w:sz w:val="20"/>
          <w:szCs w:val="20"/>
        </w:rPr>
        <w:t>Role of policy vs market vs cultural shift</w:t>
      </w:r>
      <w:r w:rsidRPr="005A06EA">
        <w:rPr>
          <w:b/>
          <w:bCs/>
          <w:sz w:val="20"/>
          <w:szCs w:val="20"/>
        </w:rPr>
        <w:br/>
      </w:r>
      <w:r w:rsidRPr="005A06EA">
        <w:rPr>
          <w:sz w:val="20"/>
          <w:szCs w:val="20"/>
        </w:rPr>
        <w:t xml:space="preserve"> Evidence: Initial change documented (TIME framing, viral testimony) is cultural; later institutional response (EEOC task force, Speak Out Act) is policy-mechanism, arriving years after the cultural shift began.</w:t>
      </w:r>
      <w:r w:rsidRPr="005A06EA">
        <w:rPr>
          <w:sz w:val="20"/>
          <w:szCs w:val="20"/>
        </w:rPr>
        <w:br/>
        <w:t xml:space="preserve"> Confidence: High — multiple sources across phases corroborate sequencing (cultural first, policy secondary).</w:t>
      </w:r>
      <w:r w:rsidRPr="005A06EA">
        <w:rPr>
          <w:sz w:val="20"/>
          <w:szCs w:val="20"/>
        </w:rPr>
        <w:br/>
        <w:t xml:space="preserve"> Source Tag: #1, #3, #4.</w:t>
      </w:r>
    </w:p>
    <w:p w14:paraId="4A4A7139" w14:textId="77777777" w:rsidR="00B26EF2" w:rsidRPr="005A06EA" w:rsidRDefault="00B26EF2" w:rsidP="00043AF9">
      <w:pPr>
        <w:numPr>
          <w:ilvl w:val="0"/>
          <w:numId w:val="30"/>
        </w:numPr>
        <w:rPr>
          <w:sz w:val="20"/>
          <w:szCs w:val="20"/>
        </w:rPr>
      </w:pPr>
      <w:r w:rsidRPr="005A06EA">
        <w:rPr>
          <w:b/>
          <w:bCs/>
          <w:sz w:val="20"/>
          <w:szCs w:val="20"/>
        </w:rPr>
        <w:t>Coalition size/type/non-obvious allies</w:t>
      </w:r>
      <w:r w:rsidRPr="005A06EA">
        <w:rPr>
          <w:b/>
          <w:bCs/>
          <w:sz w:val="20"/>
          <w:szCs w:val="20"/>
        </w:rPr>
        <w:br/>
      </w:r>
      <w:r w:rsidRPr="005A06EA">
        <w:rPr>
          <w:sz w:val="20"/>
          <w:szCs w:val="20"/>
        </w:rPr>
        <w:t xml:space="preserve"> Evidence: The farmworkers' solidarity letter to Hollywood actors documents an explicit alliance between groups with no prior public connection or shared industry, addressed directly at a moment of high visibility for the latter.</w:t>
      </w:r>
      <w:r w:rsidRPr="005A06EA">
        <w:rPr>
          <w:sz w:val="20"/>
          <w:szCs w:val="20"/>
        </w:rPr>
        <w:br/>
        <w:t xml:space="preserve"> Confidence: High — direct primary documentation of cross-coalition action in-window.</w:t>
      </w:r>
      <w:r w:rsidRPr="005A06EA">
        <w:rPr>
          <w:sz w:val="20"/>
          <w:szCs w:val="20"/>
        </w:rPr>
        <w:br/>
        <w:t xml:space="preserve"> Source Tag: #2.</w:t>
      </w:r>
    </w:p>
    <w:p w14:paraId="24E665DC" w14:textId="77777777" w:rsidR="00B26EF2" w:rsidRPr="005A06EA" w:rsidRDefault="00B26EF2" w:rsidP="00043AF9">
      <w:pPr>
        <w:numPr>
          <w:ilvl w:val="0"/>
          <w:numId w:val="30"/>
        </w:numPr>
        <w:rPr>
          <w:sz w:val="20"/>
          <w:szCs w:val="20"/>
        </w:rPr>
      </w:pPr>
      <w:r w:rsidRPr="005A06EA">
        <w:rPr>
          <w:b/>
          <w:bCs/>
          <w:sz w:val="20"/>
          <w:szCs w:val="20"/>
        </w:rPr>
        <w:t>Economic disruption required</w:t>
      </w:r>
      <w:r w:rsidRPr="005A06EA">
        <w:rPr>
          <w:b/>
          <w:bCs/>
          <w:sz w:val="20"/>
          <w:szCs w:val="20"/>
        </w:rPr>
        <w:br/>
      </w:r>
      <w:r w:rsidRPr="005A06EA">
        <w:rPr>
          <w:sz w:val="20"/>
          <w:szCs w:val="20"/>
        </w:rPr>
        <w:t xml:space="preserve"> Evidence: No locked source documents large-scale business-model change; required change is procedural/HR and legal-exposure-related (NDA enforceability) rather than structural economic transformation.</w:t>
      </w:r>
      <w:r w:rsidRPr="005A06EA">
        <w:rPr>
          <w:sz w:val="20"/>
          <w:szCs w:val="20"/>
        </w:rPr>
        <w:br/>
        <w:t xml:space="preserve"> Confidence: Low — inferred from absence of economic-disruption evidence in the locked set rather than direct documentation.</w:t>
      </w:r>
      <w:r w:rsidRPr="005A06EA">
        <w:rPr>
          <w:sz w:val="20"/>
          <w:szCs w:val="20"/>
        </w:rPr>
        <w:br/>
        <w:t xml:space="preserve"> Source Tag: #4 (by omission/inference).</w:t>
      </w:r>
    </w:p>
    <w:p w14:paraId="35DE6DB5" w14:textId="77777777" w:rsidR="00B26EF2" w:rsidRPr="005A06EA" w:rsidRDefault="00B26EF2" w:rsidP="00043AF9">
      <w:pPr>
        <w:numPr>
          <w:ilvl w:val="0"/>
          <w:numId w:val="30"/>
        </w:numPr>
        <w:rPr>
          <w:sz w:val="20"/>
          <w:szCs w:val="20"/>
        </w:rPr>
      </w:pPr>
      <w:r w:rsidRPr="005A06EA">
        <w:rPr>
          <w:b/>
          <w:bCs/>
          <w:sz w:val="20"/>
          <w:szCs w:val="20"/>
        </w:rPr>
        <w:t>Speed of change achieved</w:t>
      </w:r>
      <w:r w:rsidRPr="005A06EA">
        <w:rPr>
          <w:b/>
          <w:bCs/>
          <w:sz w:val="20"/>
          <w:szCs w:val="20"/>
        </w:rPr>
        <w:br/>
      </w:r>
      <w:r w:rsidRPr="005A06EA">
        <w:rPr>
          <w:sz w:val="20"/>
          <w:szCs w:val="20"/>
        </w:rPr>
        <w:t xml:space="preserve"> Evidence: Cultural visibility and coalition action occurred within weeks (Oct–Dec 2017, per #1 and #2); the EEOC task force reconvened mid-2018; the most concrete legislative outcome (Speak Out Act) did not pass until Dec 2022 — a five-year gap between cultural tipping point and the federal statute in the locked set.</w:t>
      </w:r>
      <w:r w:rsidRPr="005A06EA">
        <w:rPr>
          <w:sz w:val="20"/>
          <w:szCs w:val="20"/>
        </w:rPr>
        <w:br/>
        <w:t xml:space="preserve"> Confidence: Medium — clear dates support the sequencing, but "speed" is a constructed comparison across sources rather than directly stated by any one of them.</w:t>
      </w:r>
      <w:r w:rsidRPr="005A06EA">
        <w:rPr>
          <w:sz w:val="20"/>
          <w:szCs w:val="20"/>
        </w:rPr>
        <w:br/>
        <w:t xml:space="preserve"> Source Tag: #1, #2, #3, #4.</w:t>
      </w:r>
    </w:p>
    <w:p w14:paraId="312388DA" w14:textId="77777777" w:rsidR="00B26EF2" w:rsidRPr="005A06EA" w:rsidRDefault="00B26EF2" w:rsidP="00043AF9">
      <w:pPr>
        <w:numPr>
          <w:ilvl w:val="0"/>
          <w:numId w:val="30"/>
        </w:numPr>
        <w:rPr>
          <w:sz w:val="20"/>
          <w:szCs w:val="20"/>
        </w:rPr>
      </w:pPr>
      <w:r w:rsidRPr="005A06EA">
        <w:rPr>
          <w:b/>
          <w:bCs/>
          <w:sz w:val="20"/>
          <w:szCs w:val="20"/>
        </w:rPr>
        <w:t>Scale of change achieved</w:t>
      </w:r>
      <w:r w:rsidRPr="005A06EA">
        <w:rPr>
          <w:b/>
          <w:bCs/>
          <w:sz w:val="20"/>
          <w:szCs w:val="20"/>
        </w:rPr>
        <w:br/>
      </w:r>
      <w:r w:rsidRPr="005A06EA">
        <w:rPr>
          <w:sz w:val="20"/>
          <w:szCs w:val="20"/>
        </w:rPr>
        <w:t xml:space="preserve"> Evidence: Cultural reach is described as broad/national-to-global by #1; legal/structural change documented in the locked set is narrower — one federal statute addressing NDA/arbitration enforceability specifically, plus EEOC monitoring data, not comprehensive workplace-law reform.</w:t>
      </w:r>
      <w:r w:rsidRPr="005A06EA">
        <w:rPr>
          <w:sz w:val="20"/>
          <w:szCs w:val="20"/>
        </w:rPr>
        <w:br/>
        <w:t xml:space="preserve"> Confidence: Medium — direct evidence for cultural scale (High sub-confidence) is stronger than for structural scale (Medium-Low sub-confidence); blended to Medium overall.</w:t>
      </w:r>
      <w:r w:rsidRPr="005A06EA">
        <w:rPr>
          <w:sz w:val="20"/>
          <w:szCs w:val="20"/>
        </w:rPr>
        <w:br/>
        <w:t xml:space="preserve"> Source Tag: #1, #4, #6.</w:t>
      </w:r>
    </w:p>
    <w:p w14:paraId="3B45F3B4" w14:textId="77777777" w:rsidR="00B26EF2" w:rsidRPr="005A06EA" w:rsidRDefault="00B26EF2" w:rsidP="00043AF9">
      <w:pPr>
        <w:numPr>
          <w:ilvl w:val="0"/>
          <w:numId w:val="30"/>
        </w:numPr>
        <w:rPr>
          <w:sz w:val="20"/>
          <w:szCs w:val="20"/>
        </w:rPr>
      </w:pPr>
      <w:r w:rsidRPr="005A06EA">
        <w:rPr>
          <w:b/>
          <w:bCs/>
          <w:sz w:val="20"/>
          <w:szCs w:val="20"/>
        </w:rPr>
        <w:t>Public sentiment starting point</w:t>
      </w:r>
      <w:r w:rsidRPr="005A06EA">
        <w:rPr>
          <w:b/>
          <w:bCs/>
          <w:sz w:val="20"/>
          <w:szCs w:val="20"/>
        </w:rPr>
        <w:br/>
      </w:r>
      <w:r w:rsidRPr="005A06EA">
        <w:rPr>
          <w:sz w:val="20"/>
          <w:szCs w:val="20"/>
        </w:rPr>
        <w:t>Evidence: Gallup tracking data establishes that 50% of Americans considered workplace sexual harassment a "major problem" as far back as 1998, a figure that remained relatively stable pre-campaign — providing a long-standing acknowledgment baseline. Pew Research Center's summer 2017 pre-#MeToo survey (conducted before the Weinstein revelations) found only 10% of employed people considered harassment a big problem in their own workplace and 64% said it was not a problem there, despite 22% of employed women simultaneously reporting personal experience of workplace sexual harassment. This gap between abstract societal acknowledgment and personalised workplace recognition is the defining feature of the pre-campaign starting point. American satisfaction with the treatment of women in society stood at approximately 67% in 2015–2016 (Gallup annual trend), falling roughly 10 points after #MeToo — confirming the campaign moved a sentiment that was already present but not activated into a critical stance.</w:t>
      </w:r>
    </w:p>
    <w:p w14:paraId="05A3186F" w14:textId="77777777" w:rsidR="00B26EF2" w:rsidRPr="005A06EA" w:rsidRDefault="00B26EF2" w:rsidP="00B26EF2">
      <w:pPr>
        <w:rPr>
          <w:sz w:val="20"/>
          <w:szCs w:val="20"/>
        </w:rPr>
      </w:pPr>
      <w:r w:rsidRPr="005A06EA">
        <w:rPr>
          <w:sz w:val="20"/>
          <w:szCs w:val="20"/>
        </w:rPr>
        <w:t>Confidence: High — multiple independent pre-campaign national surveys (Gallup, Pew) converge precisely on the starting point; no inference required; the perception gap is directly and quantifiably evidenced.</w:t>
      </w:r>
    </w:p>
    <w:p w14:paraId="5CED1E35" w14:textId="77777777" w:rsidR="00B26EF2" w:rsidRPr="005A06EA" w:rsidRDefault="00B26EF2" w:rsidP="00B26EF2">
      <w:pPr>
        <w:rPr>
          <w:sz w:val="20"/>
          <w:szCs w:val="20"/>
        </w:rPr>
      </w:pPr>
      <w:r w:rsidRPr="005A06EA">
        <w:rPr>
          <w:sz w:val="20"/>
          <w:szCs w:val="20"/>
        </w:rPr>
        <w:t>Source Tag: Gallup 1998/pre-#MeToo trend; Pew Research Center summer 2017 (pre-#MeToo); Gallup satisfaction with treatment of women 2015–2016 </w:t>
      </w:r>
    </w:p>
    <w:p w14:paraId="0FACC6D3" w14:textId="77777777" w:rsidR="00B26EF2" w:rsidRPr="005A06EA" w:rsidRDefault="00B26EF2" w:rsidP="00043AF9">
      <w:pPr>
        <w:numPr>
          <w:ilvl w:val="0"/>
          <w:numId w:val="31"/>
        </w:numPr>
        <w:rPr>
          <w:sz w:val="20"/>
          <w:szCs w:val="20"/>
        </w:rPr>
      </w:pPr>
      <w:r w:rsidRPr="005A06EA">
        <w:rPr>
          <w:b/>
          <w:bCs/>
          <w:sz w:val="20"/>
          <w:szCs w:val="20"/>
        </w:rPr>
        <w:lastRenderedPageBreak/>
        <w:t>Legal/regulatory landscape</w:t>
      </w:r>
      <w:r w:rsidRPr="005A06EA">
        <w:rPr>
          <w:b/>
          <w:bCs/>
          <w:sz w:val="20"/>
          <w:szCs w:val="20"/>
        </w:rPr>
        <w:br/>
      </w:r>
      <w:r w:rsidRPr="005A06EA">
        <w:rPr>
          <w:sz w:val="20"/>
          <w:szCs w:val="20"/>
        </w:rPr>
        <w:t xml:space="preserve"> Evidence: EEOC already existed as an enforcement body before the campaign (pre-existing structural capacity); Speak Out Act later changed enforceability of NDA/arbitration clauses specifically for sexual harassment/assault claims, narrowing what had previously been a permissive legal landscape.</w:t>
      </w:r>
      <w:r w:rsidRPr="005A06EA">
        <w:rPr>
          <w:sz w:val="20"/>
          <w:szCs w:val="20"/>
        </w:rPr>
        <w:br/>
        <w:t xml:space="preserve"> Confidence: Medium — direct statutory text confirms what changed, but the "before" landscape is inferred rather than documented by a dedicated locked source.</w:t>
      </w:r>
      <w:r w:rsidRPr="005A06EA">
        <w:rPr>
          <w:sz w:val="20"/>
          <w:szCs w:val="20"/>
        </w:rPr>
        <w:br/>
        <w:t xml:space="preserve"> Source Tag: #4, #3 (in-window); no Phase 1/4 exception source needed — EEOC's pre-existing authority is established within #3 itself.</w:t>
      </w:r>
    </w:p>
    <w:p w14:paraId="725451E2" w14:textId="77777777" w:rsidR="00B26EF2" w:rsidRPr="005A06EA" w:rsidRDefault="00B26EF2" w:rsidP="00043AF9">
      <w:pPr>
        <w:numPr>
          <w:ilvl w:val="0"/>
          <w:numId w:val="32"/>
        </w:numPr>
        <w:rPr>
          <w:sz w:val="20"/>
          <w:szCs w:val="20"/>
        </w:rPr>
      </w:pPr>
      <w:r w:rsidRPr="005A06EA">
        <w:rPr>
          <w:b/>
          <w:bCs/>
          <w:sz w:val="20"/>
          <w:szCs w:val="20"/>
        </w:rPr>
        <w:t>Narrative dominance</w:t>
      </w:r>
      <w:r w:rsidRPr="005A06EA">
        <w:rPr>
          <w:b/>
          <w:bCs/>
          <w:sz w:val="20"/>
          <w:szCs w:val="20"/>
        </w:rPr>
        <w:br/>
      </w:r>
      <w:r w:rsidRPr="005A06EA">
        <w:rPr>
          <w:sz w:val="20"/>
          <w:szCs w:val="20"/>
        </w:rPr>
        <w:t xml:space="preserve"> Evidence: "The Silence Breakers" cover story explicitly reframed individual testimony as a unified, named movement, directly contesting prior normalisation/silence; Senate testimony in 2018 shows the new narrative had not yet fully displaced institutional defensiveness.</w:t>
      </w:r>
      <w:r w:rsidRPr="005A06EA">
        <w:rPr>
          <w:sz w:val="20"/>
          <w:szCs w:val="20"/>
        </w:rPr>
        <w:br/>
        <w:t xml:space="preserve"> Confidence: Medium — Phase 1 source is strong direct evidence of the new frame's emergence; persistence/contestation into 2018 relies on a single testimony source.</w:t>
      </w:r>
      <w:r w:rsidRPr="005A06EA">
        <w:rPr>
          <w:sz w:val="20"/>
          <w:szCs w:val="20"/>
        </w:rPr>
        <w:br/>
        <w:t xml:space="preserve"> Source Tag: #1 (Phase 1, used directly — not as an exception, since #1 is itself a locked source, not an out-of-window addition), #5.</w:t>
      </w:r>
    </w:p>
    <w:p w14:paraId="27D64503" w14:textId="77777777" w:rsidR="00B26EF2" w:rsidRPr="005A06EA" w:rsidRDefault="00B26EF2" w:rsidP="00043AF9">
      <w:pPr>
        <w:numPr>
          <w:ilvl w:val="0"/>
          <w:numId w:val="33"/>
        </w:numPr>
        <w:rPr>
          <w:sz w:val="20"/>
          <w:szCs w:val="20"/>
        </w:rPr>
      </w:pPr>
      <w:r w:rsidRPr="005A06EA">
        <w:rPr>
          <w:b/>
          <w:bCs/>
          <w:sz w:val="20"/>
          <w:szCs w:val="20"/>
        </w:rPr>
        <w:t>Notable Tactics</w:t>
      </w:r>
      <w:r w:rsidRPr="005A06EA">
        <w:rPr>
          <w:b/>
          <w:bCs/>
          <w:sz w:val="20"/>
          <w:szCs w:val="20"/>
        </w:rPr>
        <w:br/>
      </w:r>
      <w:r w:rsidRPr="005A06EA">
        <w:rPr>
          <w:sz w:val="20"/>
          <w:szCs w:val="20"/>
        </w:rPr>
        <w:t xml:space="preserve"> a. Viral hashtag testimony following a public call to action.</w:t>
      </w:r>
      <w:r w:rsidRPr="005A06EA">
        <w:rPr>
          <w:sz w:val="20"/>
          <w:szCs w:val="20"/>
        </w:rPr>
        <w:br/>
        <w:t xml:space="preserve"> Evidence: #1 documents the scale and immediacy of testimony following the initial public prompt.</w:t>
      </w:r>
      <w:r w:rsidRPr="005A06EA">
        <w:rPr>
          <w:sz w:val="20"/>
          <w:szCs w:val="20"/>
        </w:rPr>
        <w:br/>
        <w:t xml:space="preserve"> Confidence: High. Source Tag: #1.</w:t>
      </w:r>
      <w:r w:rsidRPr="005A06EA">
        <w:rPr>
          <w:sz w:val="20"/>
          <w:szCs w:val="20"/>
        </w:rPr>
        <w:br/>
        <w:t xml:space="preserve"> b. Cross-sector solidarity letter (farmworkers → Hollywood).</w:t>
      </w:r>
      <w:r w:rsidRPr="005A06EA">
        <w:rPr>
          <w:sz w:val="20"/>
          <w:szCs w:val="20"/>
        </w:rPr>
        <w:br/>
        <w:t xml:space="preserve"> Evidence: #2 is a direct primary document of this tactic.</w:t>
      </w:r>
      <w:r w:rsidRPr="005A06EA">
        <w:rPr>
          <w:sz w:val="20"/>
          <w:szCs w:val="20"/>
        </w:rPr>
        <w:br/>
        <w:t xml:space="preserve"> Confidence: High. Source Tag: #2.</w:t>
      </w:r>
      <w:r w:rsidRPr="005A06EA">
        <w:rPr>
          <w:sz w:val="20"/>
          <w:szCs w:val="20"/>
        </w:rPr>
        <w:br/>
        <w:t xml:space="preserve"> c. Mass-media "collective person" framing.</w:t>
      </w:r>
      <w:r w:rsidRPr="005A06EA">
        <w:rPr>
          <w:sz w:val="20"/>
          <w:szCs w:val="20"/>
        </w:rPr>
        <w:br/>
        <w:t xml:space="preserve"> Evidence: TIME's Person of the Year format itself is the tactic/mechanism, consolidating diffuse testimony into one narrative unit.</w:t>
      </w:r>
      <w:r w:rsidRPr="005A06EA">
        <w:rPr>
          <w:sz w:val="20"/>
          <w:szCs w:val="20"/>
        </w:rPr>
        <w:br/>
        <w:t xml:space="preserve"> Confidence: High. Source Tag: #1.</w:t>
      </w:r>
      <w:r w:rsidRPr="005A06EA">
        <w:rPr>
          <w:sz w:val="20"/>
          <w:szCs w:val="20"/>
        </w:rPr>
        <w:br/>
        <w:t xml:space="preserve"> d. Reconvened federal task force as sustained-attention mechanism.</w:t>
      </w:r>
      <w:r w:rsidRPr="005A06EA">
        <w:rPr>
          <w:sz w:val="20"/>
          <w:szCs w:val="20"/>
        </w:rPr>
        <w:br/>
        <w:t xml:space="preserve"> Evidence: #3 documents EEOC explicitly reconvening (not newly forming) a task force in direct response to ongoing public attention.</w:t>
      </w:r>
      <w:r w:rsidRPr="005A06EA">
        <w:rPr>
          <w:sz w:val="20"/>
          <w:szCs w:val="20"/>
        </w:rPr>
        <w:br/>
        <w:t xml:space="preserve"> Confidence: High. Source Tag: #3.</w:t>
      </w:r>
      <w:r w:rsidRPr="005A06EA">
        <w:rPr>
          <w:sz w:val="20"/>
          <w:szCs w:val="20"/>
        </w:rPr>
        <w:br/>
        <w:t xml:space="preserve"> e. Narrow statutory carve-out rather than omnibus reform.</w:t>
      </w:r>
      <w:r w:rsidRPr="005A06EA">
        <w:rPr>
          <w:sz w:val="20"/>
          <w:szCs w:val="20"/>
        </w:rPr>
        <w:br/>
        <w:t xml:space="preserve"> Evidence: #4's text is restricted to NDA/arbitration enforceability for sexual harassment/assault, not general workplace law.</w:t>
      </w:r>
      <w:r w:rsidRPr="005A06EA">
        <w:rPr>
          <w:sz w:val="20"/>
          <w:szCs w:val="20"/>
        </w:rPr>
        <w:br/>
        <w:t xml:space="preserve"> Confidence: High. Source Tag: #4.</w:t>
      </w:r>
    </w:p>
    <w:p w14:paraId="62224BF2" w14:textId="77777777" w:rsidR="00B26EF2" w:rsidRPr="005A06EA" w:rsidRDefault="00641196" w:rsidP="00B26EF2">
      <w:pPr>
        <w:rPr>
          <w:sz w:val="20"/>
          <w:szCs w:val="20"/>
        </w:rPr>
      </w:pPr>
      <w:r>
        <w:rPr>
          <w:sz w:val="20"/>
          <w:szCs w:val="20"/>
        </w:rPr>
        <w:pict w14:anchorId="47F84E39">
          <v:rect id="_x0000_i1049" style="width:0;height:1.5pt" o:hralign="center" o:hrstd="t" o:hr="t" fillcolor="#a0a0a0" stroked="f"/>
        </w:pict>
      </w:r>
    </w:p>
    <w:p w14:paraId="58C8642B" w14:textId="77777777" w:rsidR="00B26EF2" w:rsidRPr="005A06EA" w:rsidRDefault="00B26EF2" w:rsidP="00B26EF2">
      <w:pPr>
        <w:rPr>
          <w:b/>
          <w:bCs/>
          <w:sz w:val="20"/>
          <w:szCs w:val="20"/>
        </w:rPr>
      </w:pPr>
      <w:r w:rsidRPr="005A06EA">
        <w:rPr>
          <w:b/>
          <w:bCs/>
          <w:sz w:val="20"/>
          <w:szCs w:val="20"/>
        </w:rPr>
        <w:t>SOURCE-TO-VARIABLE MAPPING</w:t>
      </w:r>
    </w:p>
    <w:tbl>
      <w:tblPr>
        <w:tblW w:w="0" w:type="auto"/>
        <w:tblCellMar>
          <w:top w:w="15" w:type="dxa"/>
          <w:left w:w="15" w:type="dxa"/>
          <w:bottom w:w="15" w:type="dxa"/>
          <w:right w:w="15" w:type="dxa"/>
        </w:tblCellMar>
        <w:tblLook w:val="04A0" w:firstRow="1" w:lastRow="0" w:firstColumn="1" w:lastColumn="0" w:noHBand="0" w:noVBand="1"/>
      </w:tblPr>
      <w:tblGrid>
        <w:gridCol w:w="5524"/>
        <w:gridCol w:w="2689"/>
      </w:tblGrid>
      <w:tr w:rsidR="00B26EF2" w:rsidRPr="005A06EA" w14:paraId="6023D771" w14:textId="77777777">
        <w:trPr>
          <w:trHeight w:val="515"/>
        </w:trPr>
        <w:tc>
          <w:tcPr>
            <w:tcW w:w="0" w:type="auto"/>
            <w:tcMar>
              <w:top w:w="100" w:type="dxa"/>
              <w:left w:w="100" w:type="dxa"/>
              <w:bottom w:w="100" w:type="dxa"/>
              <w:right w:w="100" w:type="dxa"/>
            </w:tcMar>
            <w:hideMark/>
          </w:tcPr>
          <w:p w14:paraId="1AB7BCFC" w14:textId="77777777" w:rsidR="00B26EF2" w:rsidRPr="005A06EA" w:rsidRDefault="00B26EF2" w:rsidP="00B26EF2">
            <w:pPr>
              <w:rPr>
                <w:sz w:val="20"/>
                <w:szCs w:val="20"/>
              </w:rPr>
            </w:pPr>
            <w:r w:rsidRPr="005A06EA">
              <w:rPr>
                <w:b/>
                <w:bCs/>
                <w:sz w:val="20"/>
                <w:szCs w:val="20"/>
              </w:rPr>
              <w:t>Source</w:t>
            </w:r>
          </w:p>
        </w:tc>
        <w:tc>
          <w:tcPr>
            <w:tcW w:w="0" w:type="auto"/>
            <w:tcMar>
              <w:top w:w="100" w:type="dxa"/>
              <w:left w:w="100" w:type="dxa"/>
              <w:bottom w:w="100" w:type="dxa"/>
              <w:right w:w="100" w:type="dxa"/>
            </w:tcMar>
            <w:hideMark/>
          </w:tcPr>
          <w:p w14:paraId="15D9D096" w14:textId="77777777" w:rsidR="00B26EF2" w:rsidRPr="005A06EA" w:rsidRDefault="00B26EF2" w:rsidP="00B26EF2">
            <w:pPr>
              <w:rPr>
                <w:sz w:val="20"/>
                <w:szCs w:val="20"/>
              </w:rPr>
            </w:pPr>
            <w:r w:rsidRPr="005A06EA">
              <w:rPr>
                <w:b/>
                <w:bCs/>
                <w:sz w:val="20"/>
                <w:szCs w:val="20"/>
              </w:rPr>
              <w:t>Variables</w:t>
            </w:r>
          </w:p>
        </w:tc>
      </w:tr>
      <w:tr w:rsidR="00B26EF2" w:rsidRPr="005A06EA" w14:paraId="380C3663" w14:textId="77777777">
        <w:trPr>
          <w:trHeight w:val="515"/>
        </w:trPr>
        <w:tc>
          <w:tcPr>
            <w:tcW w:w="0" w:type="auto"/>
            <w:tcMar>
              <w:top w:w="100" w:type="dxa"/>
              <w:left w:w="100" w:type="dxa"/>
              <w:bottom w:w="100" w:type="dxa"/>
              <w:right w:w="100" w:type="dxa"/>
            </w:tcMar>
            <w:hideMark/>
          </w:tcPr>
          <w:p w14:paraId="5A0CF8CB" w14:textId="77777777" w:rsidR="00B26EF2" w:rsidRPr="005A06EA" w:rsidRDefault="00B26EF2" w:rsidP="00B26EF2">
            <w:pPr>
              <w:rPr>
                <w:sz w:val="20"/>
                <w:szCs w:val="20"/>
              </w:rPr>
            </w:pPr>
            <w:r w:rsidRPr="005A06EA">
              <w:rPr>
                <w:sz w:val="20"/>
                <w:szCs w:val="20"/>
              </w:rPr>
              <w:t>#1 TIME, "The Silence Breakers"</w:t>
            </w:r>
          </w:p>
        </w:tc>
        <w:tc>
          <w:tcPr>
            <w:tcW w:w="0" w:type="auto"/>
            <w:tcMar>
              <w:top w:w="100" w:type="dxa"/>
              <w:left w:w="100" w:type="dxa"/>
              <w:bottom w:w="100" w:type="dxa"/>
              <w:right w:w="100" w:type="dxa"/>
            </w:tcMar>
            <w:hideMark/>
          </w:tcPr>
          <w:p w14:paraId="3EB16F6B" w14:textId="77777777" w:rsidR="00B26EF2" w:rsidRPr="005A06EA" w:rsidRDefault="00B26EF2" w:rsidP="00B26EF2">
            <w:pPr>
              <w:rPr>
                <w:sz w:val="20"/>
                <w:szCs w:val="20"/>
              </w:rPr>
            </w:pPr>
            <w:r w:rsidRPr="005A06EA">
              <w:rPr>
                <w:sz w:val="20"/>
                <w:szCs w:val="20"/>
              </w:rPr>
              <w:t>1, 2, 5, 7, 10, 11, 14, 15a, 15c</w:t>
            </w:r>
          </w:p>
        </w:tc>
      </w:tr>
      <w:tr w:rsidR="00B26EF2" w:rsidRPr="005A06EA" w14:paraId="631149FA" w14:textId="77777777">
        <w:trPr>
          <w:trHeight w:val="515"/>
        </w:trPr>
        <w:tc>
          <w:tcPr>
            <w:tcW w:w="0" w:type="auto"/>
            <w:tcMar>
              <w:top w:w="100" w:type="dxa"/>
              <w:left w:w="100" w:type="dxa"/>
              <w:bottom w:w="100" w:type="dxa"/>
              <w:right w:w="100" w:type="dxa"/>
            </w:tcMar>
            <w:hideMark/>
          </w:tcPr>
          <w:p w14:paraId="478F37A0" w14:textId="77777777" w:rsidR="00B26EF2" w:rsidRPr="005A06EA" w:rsidRDefault="00B26EF2" w:rsidP="00B26EF2">
            <w:pPr>
              <w:rPr>
                <w:sz w:val="20"/>
                <w:szCs w:val="20"/>
              </w:rPr>
            </w:pPr>
            <w:r w:rsidRPr="005A06EA">
              <w:rPr>
                <w:sz w:val="20"/>
                <w:szCs w:val="20"/>
              </w:rPr>
              <w:t>#2 Alianza Nacional de Campesinas, "Dear Sisters" letter</w:t>
            </w:r>
          </w:p>
        </w:tc>
        <w:tc>
          <w:tcPr>
            <w:tcW w:w="0" w:type="auto"/>
            <w:tcMar>
              <w:top w:w="100" w:type="dxa"/>
              <w:left w:w="100" w:type="dxa"/>
              <w:bottom w:w="100" w:type="dxa"/>
              <w:right w:w="100" w:type="dxa"/>
            </w:tcMar>
            <w:hideMark/>
          </w:tcPr>
          <w:p w14:paraId="5C55CFC9" w14:textId="77777777" w:rsidR="00B26EF2" w:rsidRPr="005A06EA" w:rsidRDefault="00B26EF2" w:rsidP="00B26EF2">
            <w:pPr>
              <w:rPr>
                <w:sz w:val="20"/>
                <w:szCs w:val="20"/>
              </w:rPr>
            </w:pPr>
            <w:r w:rsidRPr="005A06EA">
              <w:rPr>
                <w:sz w:val="20"/>
                <w:szCs w:val="20"/>
              </w:rPr>
              <w:t>8, 10, 15b</w:t>
            </w:r>
          </w:p>
        </w:tc>
      </w:tr>
      <w:tr w:rsidR="00B26EF2" w:rsidRPr="005A06EA" w14:paraId="53F0E869" w14:textId="77777777">
        <w:trPr>
          <w:trHeight w:val="515"/>
        </w:trPr>
        <w:tc>
          <w:tcPr>
            <w:tcW w:w="0" w:type="auto"/>
            <w:tcMar>
              <w:top w:w="100" w:type="dxa"/>
              <w:left w:w="100" w:type="dxa"/>
              <w:bottom w:w="100" w:type="dxa"/>
              <w:right w:w="100" w:type="dxa"/>
            </w:tcMar>
            <w:hideMark/>
          </w:tcPr>
          <w:p w14:paraId="294FF49B" w14:textId="77777777" w:rsidR="00B26EF2" w:rsidRPr="005A06EA" w:rsidRDefault="00B26EF2" w:rsidP="00B26EF2">
            <w:pPr>
              <w:rPr>
                <w:sz w:val="20"/>
                <w:szCs w:val="20"/>
              </w:rPr>
            </w:pPr>
            <w:r w:rsidRPr="005A06EA">
              <w:rPr>
                <w:sz w:val="20"/>
                <w:szCs w:val="20"/>
              </w:rPr>
              <w:t>#3 EEOC press release, Task Force reconvened</w:t>
            </w:r>
          </w:p>
        </w:tc>
        <w:tc>
          <w:tcPr>
            <w:tcW w:w="0" w:type="auto"/>
            <w:tcMar>
              <w:top w:w="100" w:type="dxa"/>
              <w:left w:w="100" w:type="dxa"/>
              <w:bottom w:w="100" w:type="dxa"/>
              <w:right w:w="100" w:type="dxa"/>
            </w:tcMar>
            <w:hideMark/>
          </w:tcPr>
          <w:p w14:paraId="7B67B0A7" w14:textId="77777777" w:rsidR="00B26EF2" w:rsidRPr="005A06EA" w:rsidRDefault="00B26EF2" w:rsidP="00B26EF2">
            <w:pPr>
              <w:rPr>
                <w:sz w:val="20"/>
                <w:szCs w:val="20"/>
              </w:rPr>
            </w:pPr>
            <w:r w:rsidRPr="005A06EA">
              <w:rPr>
                <w:sz w:val="20"/>
                <w:szCs w:val="20"/>
              </w:rPr>
              <w:t>6, 7, 10, 13, 15d</w:t>
            </w:r>
          </w:p>
        </w:tc>
      </w:tr>
      <w:tr w:rsidR="00B26EF2" w:rsidRPr="005A06EA" w14:paraId="0891A29B" w14:textId="77777777">
        <w:trPr>
          <w:trHeight w:val="515"/>
        </w:trPr>
        <w:tc>
          <w:tcPr>
            <w:tcW w:w="0" w:type="auto"/>
            <w:tcMar>
              <w:top w:w="100" w:type="dxa"/>
              <w:left w:w="100" w:type="dxa"/>
              <w:bottom w:w="100" w:type="dxa"/>
              <w:right w:w="100" w:type="dxa"/>
            </w:tcMar>
            <w:hideMark/>
          </w:tcPr>
          <w:p w14:paraId="5C10D3CB" w14:textId="77777777" w:rsidR="00B26EF2" w:rsidRPr="005A06EA" w:rsidRDefault="00B26EF2" w:rsidP="00B26EF2">
            <w:pPr>
              <w:rPr>
                <w:sz w:val="20"/>
                <w:szCs w:val="20"/>
              </w:rPr>
            </w:pPr>
            <w:r w:rsidRPr="005A06EA">
              <w:rPr>
                <w:sz w:val="20"/>
                <w:szCs w:val="20"/>
              </w:rPr>
              <w:t>#4 Speak Out Act (S.4524)</w:t>
            </w:r>
          </w:p>
        </w:tc>
        <w:tc>
          <w:tcPr>
            <w:tcW w:w="0" w:type="auto"/>
            <w:tcMar>
              <w:top w:w="100" w:type="dxa"/>
              <w:left w:w="100" w:type="dxa"/>
              <w:bottom w:w="100" w:type="dxa"/>
              <w:right w:w="100" w:type="dxa"/>
            </w:tcMar>
            <w:hideMark/>
          </w:tcPr>
          <w:p w14:paraId="0C99EFCF" w14:textId="77777777" w:rsidR="00B26EF2" w:rsidRPr="005A06EA" w:rsidRDefault="00B26EF2" w:rsidP="00B26EF2">
            <w:pPr>
              <w:rPr>
                <w:sz w:val="20"/>
                <w:szCs w:val="20"/>
              </w:rPr>
            </w:pPr>
            <w:r w:rsidRPr="005A06EA">
              <w:rPr>
                <w:sz w:val="20"/>
                <w:szCs w:val="20"/>
              </w:rPr>
              <w:t>1, 2, 4, 9, 10, 11, 13, 15e</w:t>
            </w:r>
          </w:p>
        </w:tc>
      </w:tr>
      <w:tr w:rsidR="00B26EF2" w:rsidRPr="005A06EA" w14:paraId="62F2FC06" w14:textId="77777777">
        <w:trPr>
          <w:trHeight w:val="515"/>
        </w:trPr>
        <w:tc>
          <w:tcPr>
            <w:tcW w:w="0" w:type="auto"/>
            <w:tcMar>
              <w:top w:w="100" w:type="dxa"/>
              <w:left w:w="100" w:type="dxa"/>
              <w:bottom w:w="100" w:type="dxa"/>
              <w:right w:w="100" w:type="dxa"/>
            </w:tcMar>
            <w:hideMark/>
          </w:tcPr>
          <w:p w14:paraId="5617D5F2" w14:textId="77777777" w:rsidR="00B26EF2" w:rsidRPr="005A06EA" w:rsidRDefault="00B26EF2" w:rsidP="00B26EF2">
            <w:pPr>
              <w:rPr>
                <w:sz w:val="20"/>
                <w:szCs w:val="20"/>
              </w:rPr>
            </w:pPr>
            <w:r w:rsidRPr="005A06EA">
              <w:rPr>
                <w:sz w:val="20"/>
                <w:szCs w:val="20"/>
              </w:rPr>
              <w:lastRenderedPageBreak/>
              <w:t>#5 Santos Senate Judiciary testimony</w:t>
            </w:r>
          </w:p>
        </w:tc>
        <w:tc>
          <w:tcPr>
            <w:tcW w:w="0" w:type="auto"/>
            <w:tcMar>
              <w:top w:w="100" w:type="dxa"/>
              <w:left w:w="100" w:type="dxa"/>
              <w:bottom w:w="100" w:type="dxa"/>
              <w:right w:w="100" w:type="dxa"/>
            </w:tcMar>
            <w:hideMark/>
          </w:tcPr>
          <w:p w14:paraId="6B77833F" w14:textId="77777777" w:rsidR="00B26EF2" w:rsidRPr="005A06EA" w:rsidRDefault="00B26EF2" w:rsidP="00B26EF2">
            <w:pPr>
              <w:rPr>
                <w:sz w:val="20"/>
                <w:szCs w:val="20"/>
              </w:rPr>
            </w:pPr>
            <w:r w:rsidRPr="005A06EA">
              <w:rPr>
                <w:sz w:val="20"/>
                <w:szCs w:val="20"/>
              </w:rPr>
              <w:t>1, 3, 4, 6 (indirectly), 14</w:t>
            </w:r>
          </w:p>
        </w:tc>
      </w:tr>
      <w:tr w:rsidR="00B26EF2" w:rsidRPr="005A06EA" w14:paraId="7CD42F6F" w14:textId="77777777">
        <w:trPr>
          <w:trHeight w:val="515"/>
        </w:trPr>
        <w:tc>
          <w:tcPr>
            <w:tcW w:w="0" w:type="auto"/>
            <w:tcMar>
              <w:top w:w="100" w:type="dxa"/>
              <w:left w:w="100" w:type="dxa"/>
              <w:bottom w:w="100" w:type="dxa"/>
              <w:right w:w="100" w:type="dxa"/>
            </w:tcMar>
            <w:hideMark/>
          </w:tcPr>
          <w:p w14:paraId="1EBB6100" w14:textId="77777777" w:rsidR="00B26EF2" w:rsidRPr="005A06EA" w:rsidRDefault="00B26EF2" w:rsidP="00B26EF2">
            <w:pPr>
              <w:rPr>
                <w:sz w:val="20"/>
                <w:szCs w:val="20"/>
              </w:rPr>
            </w:pPr>
            <w:r w:rsidRPr="005A06EA">
              <w:rPr>
                <w:sz w:val="20"/>
                <w:szCs w:val="20"/>
              </w:rPr>
              <w:t>#6 EEOC, "Sexual Harassment in Our Nation's Workplaces"</w:t>
            </w:r>
          </w:p>
          <w:p w14:paraId="15850948" w14:textId="77777777" w:rsidR="00B26EF2" w:rsidRPr="005A06EA" w:rsidRDefault="00B26EF2" w:rsidP="00B26EF2">
            <w:pPr>
              <w:rPr>
                <w:sz w:val="20"/>
                <w:szCs w:val="20"/>
              </w:rPr>
            </w:pPr>
            <w:r w:rsidRPr="005A06EA">
              <w:rPr>
                <w:sz w:val="20"/>
                <w:szCs w:val="20"/>
              </w:rPr>
              <w:t>Gallup 1998/pre-#MeToo trend — 12</w:t>
            </w:r>
          </w:p>
          <w:p w14:paraId="2BC1BF30" w14:textId="77777777" w:rsidR="00B26EF2" w:rsidRPr="005A06EA" w:rsidRDefault="00B26EF2" w:rsidP="00B26EF2">
            <w:pPr>
              <w:rPr>
                <w:sz w:val="20"/>
                <w:szCs w:val="20"/>
              </w:rPr>
            </w:pPr>
            <w:r w:rsidRPr="005A06EA">
              <w:rPr>
                <w:sz w:val="20"/>
                <w:szCs w:val="20"/>
              </w:rPr>
              <w:t>Pew Research Center summer 2017 — 12</w:t>
            </w:r>
          </w:p>
          <w:p w14:paraId="42D05879" w14:textId="77777777" w:rsidR="00B26EF2" w:rsidRPr="005A06EA" w:rsidRDefault="00B26EF2" w:rsidP="00B26EF2">
            <w:pPr>
              <w:rPr>
                <w:sz w:val="20"/>
                <w:szCs w:val="20"/>
              </w:rPr>
            </w:pPr>
            <w:r w:rsidRPr="005A06EA">
              <w:rPr>
                <w:sz w:val="20"/>
                <w:szCs w:val="20"/>
              </w:rPr>
              <w:t>Gallup satisfaction with treatment of women 2015–2016 — 12 </w:t>
            </w:r>
          </w:p>
        </w:tc>
        <w:tc>
          <w:tcPr>
            <w:tcW w:w="0" w:type="auto"/>
            <w:tcMar>
              <w:top w:w="100" w:type="dxa"/>
              <w:left w:w="100" w:type="dxa"/>
              <w:bottom w:w="100" w:type="dxa"/>
              <w:right w:w="100" w:type="dxa"/>
            </w:tcMar>
            <w:hideMark/>
          </w:tcPr>
          <w:p w14:paraId="4DDEF119" w14:textId="77777777" w:rsidR="00B26EF2" w:rsidRPr="005A06EA" w:rsidRDefault="00B26EF2" w:rsidP="00B26EF2">
            <w:pPr>
              <w:rPr>
                <w:sz w:val="20"/>
                <w:szCs w:val="20"/>
              </w:rPr>
            </w:pPr>
            <w:r w:rsidRPr="005A06EA">
              <w:rPr>
                <w:sz w:val="20"/>
                <w:szCs w:val="20"/>
              </w:rPr>
              <w:t>6, 11</w:t>
            </w:r>
          </w:p>
        </w:tc>
      </w:tr>
    </w:tbl>
    <w:p w14:paraId="732CAFFB" w14:textId="77777777" w:rsidR="00B26EF2" w:rsidRPr="005A06EA" w:rsidRDefault="00B26EF2" w:rsidP="00B26EF2">
      <w:pPr>
        <w:rPr>
          <w:b/>
          <w:bCs/>
          <w:sz w:val="20"/>
          <w:szCs w:val="20"/>
        </w:rPr>
      </w:pPr>
      <w:r w:rsidRPr="005A06EA">
        <w:rPr>
          <w:b/>
          <w:bCs/>
          <w:sz w:val="20"/>
          <w:szCs w:val="20"/>
        </w:rPr>
        <w:t>OBSERVATION</w:t>
      </w:r>
    </w:p>
    <w:p w14:paraId="1468175D" w14:textId="77777777" w:rsidR="00B26EF2" w:rsidRPr="005A06EA" w:rsidRDefault="00B26EF2" w:rsidP="00B26EF2">
      <w:pPr>
        <w:rPr>
          <w:sz w:val="20"/>
          <w:szCs w:val="20"/>
        </w:rPr>
      </w:pPr>
      <w:r w:rsidRPr="005A06EA">
        <w:rPr>
          <w:sz w:val="20"/>
          <w:szCs w:val="20"/>
        </w:rPr>
        <w:t>Evidence is moderately concentrated: Source #1 and #4 each contribute to 8–9 of 15 entries, while #2, #5, and #6 contribute narrowly to 2–4 entries each. This reflects the case's two-phase structure (early cultural framing, later narrow legislative outcome) rather than a single dominant source carrying the whole case.</w:t>
      </w:r>
    </w:p>
    <w:p w14:paraId="785502E7" w14:textId="77777777" w:rsidR="00B26EF2" w:rsidRPr="005A06EA" w:rsidRDefault="00B26EF2" w:rsidP="00B26EF2">
      <w:pPr>
        <w:rPr>
          <w:b/>
          <w:bCs/>
          <w:sz w:val="20"/>
          <w:szCs w:val="20"/>
        </w:rPr>
      </w:pPr>
      <w:r w:rsidRPr="005A06EA">
        <w:rPr>
          <w:b/>
          <w:bCs/>
          <w:sz w:val="20"/>
          <w:szCs w:val="20"/>
        </w:rPr>
        <w:t>CASE-LEVEL SUMMARY</w:t>
      </w:r>
    </w:p>
    <w:p w14:paraId="705D59FE" w14:textId="77777777" w:rsidR="00B26EF2" w:rsidRPr="005A06EA" w:rsidRDefault="00B26EF2" w:rsidP="00B26EF2">
      <w:pPr>
        <w:rPr>
          <w:sz w:val="20"/>
          <w:szCs w:val="20"/>
        </w:rPr>
      </w:pPr>
      <w:r w:rsidRPr="005A06EA">
        <w:rPr>
          <w:b/>
          <w:bCs/>
          <w:sz w:val="20"/>
          <w:szCs w:val="20"/>
        </w:rPr>
        <w:t>Low confidence / insufficient:</w:t>
      </w:r>
    </w:p>
    <w:p w14:paraId="48524BB3" w14:textId="77777777" w:rsidR="00B26EF2" w:rsidRPr="005A06EA" w:rsidRDefault="00B26EF2" w:rsidP="00043AF9">
      <w:pPr>
        <w:numPr>
          <w:ilvl w:val="0"/>
          <w:numId w:val="34"/>
        </w:numPr>
        <w:rPr>
          <w:sz w:val="20"/>
          <w:szCs w:val="20"/>
        </w:rPr>
      </w:pPr>
      <w:r w:rsidRPr="005A06EA">
        <w:rPr>
          <w:sz w:val="20"/>
          <w:szCs w:val="20"/>
        </w:rPr>
        <w:t>#3 Strength of opposition — Low (absence of direct opposition documentation).</w:t>
      </w:r>
    </w:p>
    <w:p w14:paraId="182EF78F" w14:textId="77777777" w:rsidR="00B26EF2" w:rsidRPr="005A06EA" w:rsidRDefault="00B26EF2" w:rsidP="00043AF9">
      <w:pPr>
        <w:numPr>
          <w:ilvl w:val="0"/>
          <w:numId w:val="34"/>
        </w:numPr>
        <w:rPr>
          <w:sz w:val="20"/>
          <w:szCs w:val="20"/>
        </w:rPr>
      </w:pPr>
      <w:r w:rsidRPr="005A06EA">
        <w:rPr>
          <w:sz w:val="20"/>
          <w:szCs w:val="20"/>
        </w:rPr>
        <w:t>#9 Economic disruption required — Low (inferred by omission).</w:t>
      </w:r>
    </w:p>
    <w:p w14:paraId="5CDBE125" w14:textId="77777777" w:rsidR="00B26EF2" w:rsidRPr="005A06EA" w:rsidRDefault="00B26EF2" w:rsidP="00043AF9">
      <w:pPr>
        <w:numPr>
          <w:ilvl w:val="0"/>
          <w:numId w:val="34"/>
        </w:numPr>
        <w:rPr>
          <w:sz w:val="20"/>
          <w:szCs w:val="20"/>
        </w:rPr>
      </w:pPr>
      <w:r w:rsidRPr="005A06EA">
        <w:rPr>
          <w:sz w:val="20"/>
          <w:szCs w:val="20"/>
        </w:rPr>
        <w:t>#12 Public sentiment starting point — Insufficient evidence; case runs on 13 variables.</w:t>
      </w:r>
    </w:p>
    <w:p w14:paraId="7A592B1E" w14:textId="77777777" w:rsidR="00B26EF2" w:rsidRPr="005A06EA" w:rsidRDefault="00B26EF2" w:rsidP="00B26EF2">
      <w:pPr>
        <w:rPr>
          <w:sz w:val="20"/>
          <w:szCs w:val="20"/>
        </w:rPr>
      </w:pPr>
      <w:r w:rsidRPr="005A06EA">
        <w:rPr>
          <w:b/>
          <w:bCs/>
          <w:sz w:val="20"/>
          <w:szCs w:val="20"/>
        </w:rPr>
        <w:t>Medium confidence:</w:t>
      </w:r>
    </w:p>
    <w:p w14:paraId="49D82691" w14:textId="77777777" w:rsidR="00B26EF2" w:rsidRPr="005A06EA" w:rsidRDefault="00B26EF2" w:rsidP="00043AF9">
      <w:pPr>
        <w:numPr>
          <w:ilvl w:val="0"/>
          <w:numId w:val="35"/>
        </w:numPr>
        <w:rPr>
          <w:sz w:val="20"/>
          <w:szCs w:val="20"/>
        </w:rPr>
      </w:pPr>
      <w:r w:rsidRPr="005A06EA">
        <w:rPr>
          <w:sz w:val="20"/>
          <w:szCs w:val="20"/>
        </w:rPr>
        <w:t>#1 Target type — inferred across combined sources.</w:t>
      </w:r>
    </w:p>
    <w:p w14:paraId="044C6E82" w14:textId="77777777" w:rsidR="00B26EF2" w:rsidRPr="005A06EA" w:rsidRDefault="00B26EF2" w:rsidP="00043AF9">
      <w:pPr>
        <w:numPr>
          <w:ilvl w:val="0"/>
          <w:numId w:val="35"/>
        </w:numPr>
        <w:rPr>
          <w:sz w:val="20"/>
          <w:szCs w:val="20"/>
        </w:rPr>
      </w:pPr>
      <w:r w:rsidRPr="005A06EA">
        <w:rPr>
          <w:sz w:val="20"/>
          <w:szCs w:val="20"/>
        </w:rPr>
        <w:t>#2 Concentration of decision-making power — inferred across combined sources.</w:t>
      </w:r>
    </w:p>
    <w:p w14:paraId="03381EF0" w14:textId="77777777" w:rsidR="00B26EF2" w:rsidRPr="005A06EA" w:rsidRDefault="00B26EF2" w:rsidP="00043AF9">
      <w:pPr>
        <w:numPr>
          <w:ilvl w:val="0"/>
          <w:numId w:val="35"/>
        </w:numPr>
        <w:rPr>
          <w:sz w:val="20"/>
          <w:szCs w:val="20"/>
        </w:rPr>
      </w:pPr>
      <w:r w:rsidRPr="005A06EA">
        <w:rPr>
          <w:sz w:val="20"/>
          <w:szCs w:val="20"/>
        </w:rPr>
        <w:t>#4 Type of opposition — opposition inferred from remedial statute's existence.</w:t>
      </w:r>
    </w:p>
    <w:p w14:paraId="1B078906" w14:textId="77777777" w:rsidR="00B26EF2" w:rsidRPr="005A06EA" w:rsidRDefault="00B26EF2" w:rsidP="00043AF9">
      <w:pPr>
        <w:numPr>
          <w:ilvl w:val="0"/>
          <w:numId w:val="35"/>
        </w:numPr>
        <w:rPr>
          <w:sz w:val="20"/>
          <w:szCs w:val="20"/>
        </w:rPr>
      </w:pPr>
      <w:r w:rsidRPr="005A06EA">
        <w:rPr>
          <w:sz w:val="20"/>
          <w:szCs w:val="20"/>
        </w:rPr>
        <w:t>#6 Degree of behaviour change required — inferred from institutional mandate scope.</w:t>
      </w:r>
    </w:p>
    <w:p w14:paraId="0B2068A0" w14:textId="77777777" w:rsidR="00B26EF2" w:rsidRPr="005A06EA" w:rsidRDefault="00B26EF2" w:rsidP="00043AF9">
      <w:pPr>
        <w:numPr>
          <w:ilvl w:val="0"/>
          <w:numId w:val="35"/>
        </w:numPr>
        <w:rPr>
          <w:sz w:val="20"/>
          <w:szCs w:val="20"/>
        </w:rPr>
      </w:pPr>
      <w:r w:rsidRPr="005A06EA">
        <w:rPr>
          <w:sz w:val="20"/>
          <w:szCs w:val="20"/>
        </w:rPr>
        <w:t>#10 Speed of change — sequencing constructed across multiple dated sources.</w:t>
      </w:r>
    </w:p>
    <w:p w14:paraId="755A8A81" w14:textId="77777777" w:rsidR="00B26EF2" w:rsidRPr="005A06EA" w:rsidRDefault="00B26EF2" w:rsidP="00043AF9">
      <w:pPr>
        <w:numPr>
          <w:ilvl w:val="0"/>
          <w:numId w:val="35"/>
        </w:numPr>
        <w:rPr>
          <w:sz w:val="20"/>
          <w:szCs w:val="20"/>
        </w:rPr>
      </w:pPr>
      <w:r w:rsidRPr="005A06EA">
        <w:rPr>
          <w:sz w:val="20"/>
          <w:szCs w:val="20"/>
        </w:rPr>
        <w:t>#11 Scale of change — cultural vs structural scale blended.</w:t>
      </w:r>
    </w:p>
    <w:p w14:paraId="2D806289" w14:textId="77777777" w:rsidR="00B26EF2" w:rsidRPr="005A06EA" w:rsidRDefault="00B26EF2" w:rsidP="00043AF9">
      <w:pPr>
        <w:numPr>
          <w:ilvl w:val="0"/>
          <w:numId w:val="35"/>
        </w:numPr>
        <w:rPr>
          <w:sz w:val="20"/>
          <w:szCs w:val="20"/>
        </w:rPr>
      </w:pPr>
      <w:r w:rsidRPr="005A06EA">
        <w:rPr>
          <w:sz w:val="20"/>
          <w:szCs w:val="20"/>
        </w:rPr>
        <w:t>#13 Legal/regulatory landscape — pre-campaign landscape inferred, not directly documented.</w:t>
      </w:r>
    </w:p>
    <w:p w14:paraId="3150FC5C" w14:textId="77777777" w:rsidR="00B26EF2" w:rsidRPr="005A06EA" w:rsidRDefault="00B26EF2" w:rsidP="00043AF9">
      <w:pPr>
        <w:numPr>
          <w:ilvl w:val="0"/>
          <w:numId w:val="35"/>
        </w:numPr>
        <w:rPr>
          <w:sz w:val="20"/>
          <w:szCs w:val="20"/>
        </w:rPr>
      </w:pPr>
      <w:r w:rsidRPr="005A06EA">
        <w:rPr>
          <w:sz w:val="20"/>
          <w:szCs w:val="20"/>
        </w:rPr>
        <w:t>#14 Narrative dominance — persistence into 2018 relies on single source.</w:t>
      </w:r>
    </w:p>
    <w:p w14:paraId="0AEE200E" w14:textId="77777777" w:rsidR="00B26EF2" w:rsidRPr="005A06EA" w:rsidRDefault="00B26EF2" w:rsidP="00B26EF2">
      <w:pPr>
        <w:rPr>
          <w:sz w:val="20"/>
          <w:szCs w:val="20"/>
        </w:rPr>
      </w:pPr>
      <w:r w:rsidRPr="005A06EA">
        <w:rPr>
          <w:b/>
          <w:bCs/>
          <w:sz w:val="20"/>
          <w:szCs w:val="20"/>
        </w:rPr>
        <w:t>Phase 1/4 exception use:</w:t>
      </w:r>
      <w:r w:rsidRPr="005A06EA">
        <w:rPr>
          <w:sz w:val="20"/>
          <w:szCs w:val="20"/>
        </w:rPr>
        <w:t xml:space="preserve"> None required. Source #1 (Phase 1) was used directly for variables 1, 2, 5, 7, 10, 11, 14, and 15 because it is itself part of the locked, in-window-applicable source set (Oct 2017 falls within the campaign-active window) — not because the Legal/regulatory or Narrative dominance exception clause was invoked. Source #6 (Phase 4) was used for variables 6 and 11 under the standard "as of present date for open/unresolved campaigns" rule, not the Phase 1/4 exception (which applies only to Legal/regulatory landscape and Narrative dominance). No exception clause was actually triggered for #13 or #14 — both were coded from in-window-applicable sources (#3, #4, #5) without needing to reach outside the locked set.</w:t>
      </w:r>
    </w:p>
    <w:p w14:paraId="6C506943" w14:textId="77777777" w:rsidR="00B26EF2" w:rsidRPr="005A06EA" w:rsidRDefault="00B26EF2" w:rsidP="00B26EF2">
      <w:pPr>
        <w:rPr>
          <w:b/>
          <w:bCs/>
          <w:sz w:val="20"/>
          <w:szCs w:val="20"/>
        </w:rPr>
      </w:pPr>
      <w:r w:rsidRPr="005A06EA">
        <w:rPr>
          <w:b/>
          <w:bCs/>
          <w:sz w:val="20"/>
          <w:szCs w:val="20"/>
        </w:rPr>
        <w:t>OVERALL CASE CONFIDENCE/QUALITY FLAG</w:t>
      </w:r>
    </w:p>
    <w:p w14:paraId="63E327AC" w14:textId="77777777" w:rsidR="00B26EF2" w:rsidRPr="005A06EA" w:rsidRDefault="00B26EF2" w:rsidP="00B26EF2">
      <w:pPr>
        <w:rPr>
          <w:sz w:val="20"/>
          <w:szCs w:val="20"/>
        </w:rPr>
      </w:pPr>
      <w:r w:rsidRPr="005A06EA">
        <w:rPr>
          <w:b/>
          <w:bCs/>
          <w:sz w:val="20"/>
          <w:szCs w:val="20"/>
        </w:rPr>
        <w:t>Medium.</w:t>
      </w:r>
      <w:r w:rsidRPr="005A06EA">
        <w:rPr>
          <w:sz w:val="20"/>
          <w:szCs w:val="20"/>
        </w:rPr>
        <w:t xml:space="preserve"> Roughly 7 of 14 substantive variables sit at High confidence, with the remainder Medium and three at Low/Insufficient. The 6-source locked set is thin relative to other cases (e.g. Case 1), source diversity is reasonable (media, NGO letter, federal agency, statute, Senate testimony) but opposition-side and baseline-sentiment evidence is genuinely absent rather than just under-cited. The Mixed/Unresolved codings for Speed and Scale of change are appropriate given the campaign is ongoing and ought to be flagged to anyone using this case for matching.</w:t>
      </w:r>
    </w:p>
    <w:p w14:paraId="1C75E6E6" w14:textId="77777777" w:rsidR="00B26EF2" w:rsidRPr="005A06EA" w:rsidRDefault="00B26EF2" w:rsidP="00B26EF2">
      <w:pPr>
        <w:rPr>
          <w:b/>
          <w:bCs/>
          <w:sz w:val="20"/>
          <w:szCs w:val="20"/>
        </w:rPr>
      </w:pPr>
      <w:r w:rsidRPr="005A06EA">
        <w:rPr>
          <w:b/>
          <w:bCs/>
          <w:sz w:val="20"/>
          <w:szCs w:val="20"/>
        </w:rPr>
        <w:t>HINDSIGHT NOTES</w:t>
      </w:r>
    </w:p>
    <w:p w14:paraId="7227D13B" w14:textId="77777777" w:rsidR="00B26EF2" w:rsidRPr="005A06EA" w:rsidRDefault="00B26EF2" w:rsidP="00043AF9">
      <w:pPr>
        <w:numPr>
          <w:ilvl w:val="0"/>
          <w:numId w:val="36"/>
        </w:numPr>
        <w:rPr>
          <w:sz w:val="20"/>
          <w:szCs w:val="20"/>
        </w:rPr>
      </w:pPr>
      <w:r w:rsidRPr="005A06EA">
        <w:rPr>
          <w:sz w:val="20"/>
          <w:szCs w:val="20"/>
        </w:rPr>
        <w:lastRenderedPageBreak/>
        <w:t>Hindsight note: Speed/Scale of change — developments since 2022 (state-level legislation, continued EEOC enforcement actions, corporate policy shifts not captured in the locked set) would likely strengthen the "Scale" coding toward broader structural change; not used above.</w:t>
      </w:r>
    </w:p>
    <w:p w14:paraId="7C92AFCD" w14:textId="77777777" w:rsidR="00B26EF2" w:rsidRPr="005A06EA" w:rsidRDefault="00B26EF2" w:rsidP="00043AF9">
      <w:pPr>
        <w:numPr>
          <w:ilvl w:val="0"/>
          <w:numId w:val="36"/>
        </w:numPr>
        <w:rPr>
          <w:sz w:val="20"/>
          <w:szCs w:val="20"/>
        </w:rPr>
      </w:pPr>
      <w:r w:rsidRPr="005A06EA">
        <w:rPr>
          <w:sz w:val="20"/>
          <w:szCs w:val="20"/>
        </w:rPr>
        <w:t>Hindsight note: Strength/Type of opposition — backlash narratives and litigation challenging #MeToo-driven workplace policies (documented post-2022, outside locked set) could raise opposition strength from Low to Medium if incorporated; not used above.</w:t>
      </w:r>
    </w:p>
    <w:p w14:paraId="226F56EB" w14:textId="77777777" w:rsidR="00B26EF2" w:rsidRPr="005A06EA" w:rsidRDefault="00B26EF2" w:rsidP="00043AF9">
      <w:pPr>
        <w:numPr>
          <w:ilvl w:val="0"/>
          <w:numId w:val="36"/>
        </w:numPr>
        <w:rPr>
          <w:sz w:val="20"/>
          <w:szCs w:val="20"/>
        </w:rPr>
      </w:pPr>
      <w:r w:rsidRPr="005A06EA">
        <w:rPr>
          <w:sz w:val="20"/>
          <w:szCs w:val="20"/>
        </w:rPr>
        <w:t>No hindsight notes applicable for Public sentiment starting point — gap is structural (no baseline source exists in the locked set), not resolvable by later evidence.</w:t>
      </w:r>
    </w:p>
    <w:p w14:paraId="05FEC110" w14:textId="480E815B" w:rsidR="005E3E75" w:rsidRDefault="00A905A5" w:rsidP="00A905A5">
      <w:pPr>
        <w:pStyle w:val="Heading1"/>
      </w:pPr>
      <w:r>
        <w:t>CASE 1</w:t>
      </w:r>
      <w:r w:rsidR="0082197F">
        <w:t>2: Leaded petrol global phase-out</w:t>
      </w:r>
    </w:p>
    <w:p w14:paraId="6B1799AE" w14:textId="77777777" w:rsidR="00DF6052" w:rsidRPr="00DF6052" w:rsidRDefault="00DF6052" w:rsidP="00DF6052">
      <w:pPr>
        <w:rPr>
          <w:b/>
          <w:bCs/>
        </w:rPr>
      </w:pPr>
      <w:r w:rsidRPr="00DF6052">
        <w:t>LIST B — EVIDENCE / CONFIDENCE / SOURCE TAG</w:t>
      </w:r>
    </w:p>
    <w:p w14:paraId="036FA86B" w14:textId="77777777" w:rsidR="00DF6052" w:rsidRPr="00DF6052" w:rsidRDefault="00DF6052" w:rsidP="00043AF9">
      <w:pPr>
        <w:numPr>
          <w:ilvl w:val="0"/>
          <w:numId w:val="37"/>
        </w:numPr>
        <w:rPr>
          <w:sz w:val="20"/>
          <w:szCs w:val="20"/>
        </w:rPr>
      </w:pPr>
      <w:r w:rsidRPr="00DF6052">
        <w:rPr>
          <w:b/>
          <w:bCs/>
          <w:sz w:val="20"/>
          <w:szCs w:val="20"/>
        </w:rPr>
        <w:t>Target type</w:t>
      </w:r>
      <w:r w:rsidRPr="00DF6052">
        <w:rPr>
          <w:b/>
          <w:bCs/>
          <w:sz w:val="20"/>
          <w:szCs w:val="20"/>
        </w:rPr>
        <w:br/>
      </w:r>
      <w:r w:rsidRPr="00DF6052">
        <w:rPr>
          <w:sz w:val="20"/>
          <w:szCs w:val="20"/>
        </w:rPr>
        <w:t xml:space="preserve"> Evidence: PCFV explicitly targets national governments for phase-out legislation/regulation and the fuels/vehicles industry for technical conversion; DOJ documentation shows a corporate actor (Innospec) became a target of legal action during the window.</w:t>
      </w:r>
      <w:r w:rsidRPr="00DF6052">
        <w:rPr>
          <w:sz w:val="20"/>
          <w:szCs w:val="20"/>
        </w:rPr>
        <w:br/>
        <w:t xml:space="preserve"> Confidence: High — multiple sources directly document the dual government/industry target structure; sequencing (cooperative partnership, then targeted prosecution) is clearly evidenced.</w:t>
      </w:r>
      <w:r w:rsidRPr="00DF6052">
        <w:rPr>
          <w:sz w:val="20"/>
          <w:szCs w:val="20"/>
        </w:rPr>
        <w:br/>
        <w:t xml:space="preserve"> Source Tag: #1, #4, #7.</w:t>
      </w:r>
    </w:p>
    <w:p w14:paraId="6D9CBC41" w14:textId="77777777" w:rsidR="00DF6052" w:rsidRPr="00DF6052" w:rsidRDefault="00DF6052" w:rsidP="00043AF9">
      <w:pPr>
        <w:numPr>
          <w:ilvl w:val="0"/>
          <w:numId w:val="37"/>
        </w:numPr>
        <w:rPr>
          <w:sz w:val="20"/>
          <w:szCs w:val="20"/>
        </w:rPr>
      </w:pPr>
      <w:r w:rsidRPr="00DF6052">
        <w:rPr>
          <w:b/>
          <w:bCs/>
          <w:sz w:val="20"/>
          <w:szCs w:val="20"/>
        </w:rPr>
        <w:t>Concentration of decision-making power</w:t>
      </w:r>
      <w:r w:rsidRPr="00DF6052">
        <w:rPr>
          <w:b/>
          <w:bCs/>
          <w:sz w:val="20"/>
          <w:szCs w:val="20"/>
        </w:rPr>
        <w:br/>
      </w:r>
      <w:r w:rsidRPr="00DF6052">
        <w:rPr>
          <w:sz w:val="20"/>
          <w:szCs w:val="20"/>
        </w:rPr>
        <w:t xml:space="preserve"> Evidence: Action plans were developed at national/sub-regional government level (East Africa Action Plan) rather than requiring diffuse individual consumer decisions; a limited number of additive/fuel producers were involved.</w:t>
      </w:r>
      <w:r w:rsidRPr="00DF6052">
        <w:rPr>
          <w:sz w:val="20"/>
          <w:szCs w:val="20"/>
        </w:rPr>
        <w:br/>
        <w:t xml:space="preserve"> Confidence: High — direct documentation of government-level decision architecture.</w:t>
      </w:r>
      <w:r w:rsidRPr="00DF6052">
        <w:rPr>
          <w:sz w:val="20"/>
          <w:szCs w:val="20"/>
        </w:rPr>
        <w:br/>
        <w:t xml:space="preserve"> Source Tag: #4, #6.</w:t>
      </w:r>
    </w:p>
    <w:p w14:paraId="30EEE9F9" w14:textId="77777777" w:rsidR="00DF6052" w:rsidRPr="00DF6052" w:rsidRDefault="00DF6052" w:rsidP="00043AF9">
      <w:pPr>
        <w:numPr>
          <w:ilvl w:val="0"/>
          <w:numId w:val="37"/>
        </w:numPr>
        <w:rPr>
          <w:sz w:val="20"/>
          <w:szCs w:val="20"/>
        </w:rPr>
      </w:pPr>
      <w:r w:rsidRPr="00DF6052">
        <w:rPr>
          <w:b/>
          <w:bCs/>
          <w:sz w:val="20"/>
          <w:szCs w:val="20"/>
        </w:rPr>
        <w:t>Strength of opposition</w:t>
      </w:r>
      <w:r w:rsidRPr="00DF6052">
        <w:rPr>
          <w:b/>
          <w:bCs/>
          <w:sz w:val="20"/>
          <w:szCs w:val="20"/>
        </w:rPr>
        <w:br/>
      </w:r>
      <w:r w:rsidRPr="00DF6052">
        <w:rPr>
          <w:sz w:val="20"/>
          <w:szCs w:val="20"/>
        </w:rPr>
        <w:t xml:space="preserve"> Evidence: The only opposing actor directly documented is Innospec, a single corporate entity engaged in bribery to delay/avoid compliance; no broader industry-wide resistance bloc is evidenced in the locked set.</w:t>
      </w:r>
      <w:r w:rsidRPr="00DF6052">
        <w:rPr>
          <w:sz w:val="20"/>
          <w:szCs w:val="20"/>
        </w:rPr>
        <w:br/>
        <w:t xml:space="preserve"> Confidence: Medium — strong direct evidence for the one documented opponent, but absence of broader industry opposition data limits generalisation.</w:t>
      </w:r>
      <w:r w:rsidRPr="00DF6052">
        <w:rPr>
          <w:sz w:val="20"/>
          <w:szCs w:val="20"/>
        </w:rPr>
        <w:br/>
        <w:t xml:space="preserve"> Source Tag: #7.</w:t>
      </w:r>
    </w:p>
    <w:p w14:paraId="5892BFB6" w14:textId="77777777" w:rsidR="00DF6052" w:rsidRPr="00DF6052" w:rsidRDefault="00DF6052" w:rsidP="00043AF9">
      <w:pPr>
        <w:numPr>
          <w:ilvl w:val="0"/>
          <w:numId w:val="37"/>
        </w:numPr>
        <w:rPr>
          <w:sz w:val="20"/>
          <w:szCs w:val="20"/>
        </w:rPr>
      </w:pPr>
      <w:r w:rsidRPr="00DF6052">
        <w:rPr>
          <w:b/>
          <w:bCs/>
          <w:sz w:val="20"/>
          <w:szCs w:val="20"/>
        </w:rPr>
        <w:t>Type of opposition</w:t>
      </w:r>
      <w:r w:rsidRPr="00DF6052">
        <w:rPr>
          <w:b/>
          <w:bCs/>
          <w:sz w:val="20"/>
          <w:szCs w:val="20"/>
        </w:rPr>
        <w:br/>
      </w:r>
      <w:r w:rsidRPr="00DF6052">
        <w:rPr>
          <w:sz w:val="20"/>
          <w:szCs w:val="20"/>
        </w:rPr>
        <w:t xml:space="preserve"> Evidence: DOJ documentation describes bribery of foreign officials and fraud against the UN to protect market position; AFR/732 separately notes "misconceptions about the impact of unleaded fuels on engines" as a technical/awareness barrier rather than organised resistance.</w:t>
      </w:r>
      <w:r w:rsidRPr="00DF6052">
        <w:rPr>
          <w:sz w:val="20"/>
          <w:szCs w:val="20"/>
        </w:rPr>
        <w:br/>
        <w:t xml:space="preserve"> Confidence: High — both opposition types are directly documented by primary sources.</w:t>
      </w:r>
      <w:r w:rsidRPr="00DF6052">
        <w:rPr>
          <w:sz w:val="20"/>
          <w:szCs w:val="20"/>
        </w:rPr>
        <w:br/>
        <w:t xml:space="preserve"> Source Tag: #7, #6.</w:t>
      </w:r>
    </w:p>
    <w:p w14:paraId="10D1832F" w14:textId="77777777" w:rsidR="00DF6052" w:rsidRPr="00DF6052" w:rsidRDefault="00DF6052" w:rsidP="00043AF9">
      <w:pPr>
        <w:numPr>
          <w:ilvl w:val="0"/>
          <w:numId w:val="37"/>
        </w:numPr>
        <w:rPr>
          <w:sz w:val="20"/>
          <w:szCs w:val="20"/>
        </w:rPr>
      </w:pPr>
      <w:r w:rsidRPr="00DF6052">
        <w:rPr>
          <w:b/>
          <w:bCs/>
          <w:sz w:val="20"/>
          <w:szCs w:val="20"/>
        </w:rPr>
        <w:t>Visibility of harm to the public</w:t>
      </w:r>
      <w:r w:rsidRPr="00DF6052">
        <w:rPr>
          <w:b/>
          <w:bCs/>
          <w:sz w:val="20"/>
          <w:szCs w:val="20"/>
        </w:rPr>
        <w:br/>
      </w:r>
      <w:r w:rsidRPr="00DF6052">
        <w:rPr>
          <w:sz w:val="20"/>
          <w:szCs w:val="20"/>
        </w:rPr>
        <w:t xml:space="preserve"> Evidence: AFR/732 explicitly attributes Africa's lag partly to "a lack of awareness of the health risks"; subsequent UNEP/JKUAT research published specific local lead-contamination data to address this gap directly.</w:t>
      </w:r>
      <w:r w:rsidRPr="00DF6052">
        <w:rPr>
          <w:sz w:val="20"/>
          <w:szCs w:val="20"/>
        </w:rPr>
        <w:br/>
        <w:t xml:space="preserve"> Confidence: High — direct primary statement of low initial visibility plus evidence of deliberate visibility-building.</w:t>
      </w:r>
      <w:r w:rsidRPr="00DF6052">
        <w:rPr>
          <w:sz w:val="20"/>
          <w:szCs w:val="20"/>
        </w:rPr>
        <w:br/>
        <w:t xml:space="preserve"> Source Tag: #6, #1.</w:t>
      </w:r>
    </w:p>
    <w:p w14:paraId="50A26249" w14:textId="77777777" w:rsidR="00DF6052" w:rsidRPr="00DF6052" w:rsidRDefault="00DF6052" w:rsidP="00043AF9">
      <w:pPr>
        <w:numPr>
          <w:ilvl w:val="0"/>
          <w:numId w:val="37"/>
        </w:numPr>
        <w:rPr>
          <w:sz w:val="20"/>
          <w:szCs w:val="20"/>
        </w:rPr>
      </w:pPr>
      <w:r w:rsidRPr="00DF6052">
        <w:rPr>
          <w:b/>
          <w:bCs/>
          <w:sz w:val="20"/>
          <w:szCs w:val="20"/>
        </w:rPr>
        <w:t>Degree of behaviour change required</w:t>
      </w:r>
      <w:r w:rsidRPr="00DF6052">
        <w:rPr>
          <w:b/>
          <w:bCs/>
          <w:sz w:val="20"/>
          <w:szCs w:val="20"/>
        </w:rPr>
        <w:br/>
      </w:r>
      <w:r w:rsidRPr="00DF6052">
        <w:rPr>
          <w:sz w:val="20"/>
          <w:szCs w:val="20"/>
        </w:rPr>
        <w:t xml:space="preserve"> Evidence: Required changes are described at the level of national regulation and refining/vehicle technology (e.g. valve seat recession technical reports, catalytic converter compatibility) rather than individual consumer choice.</w:t>
      </w:r>
      <w:r w:rsidRPr="00DF6052">
        <w:rPr>
          <w:sz w:val="20"/>
          <w:szCs w:val="20"/>
        </w:rPr>
        <w:br/>
        <w:t xml:space="preserve"> Confidence: High — technical scope is directly and specifically documented.</w:t>
      </w:r>
      <w:r w:rsidRPr="00DF6052">
        <w:rPr>
          <w:sz w:val="20"/>
          <w:szCs w:val="20"/>
        </w:rPr>
        <w:br/>
        <w:t xml:space="preserve"> Source Tag: #3, #6.</w:t>
      </w:r>
    </w:p>
    <w:p w14:paraId="00A17DEA" w14:textId="77777777" w:rsidR="00DF6052" w:rsidRPr="00DF6052" w:rsidRDefault="00DF6052" w:rsidP="00043AF9">
      <w:pPr>
        <w:numPr>
          <w:ilvl w:val="0"/>
          <w:numId w:val="37"/>
        </w:numPr>
        <w:rPr>
          <w:sz w:val="20"/>
          <w:szCs w:val="20"/>
        </w:rPr>
      </w:pPr>
      <w:r w:rsidRPr="00DF6052">
        <w:rPr>
          <w:b/>
          <w:bCs/>
          <w:sz w:val="20"/>
          <w:szCs w:val="20"/>
        </w:rPr>
        <w:t>Role of policy vs market vs cultural shift</w:t>
      </w:r>
      <w:r w:rsidRPr="00DF6052">
        <w:rPr>
          <w:b/>
          <w:bCs/>
          <w:sz w:val="20"/>
          <w:szCs w:val="20"/>
        </w:rPr>
        <w:br/>
      </w:r>
      <w:r w:rsidRPr="00DF6052">
        <w:rPr>
          <w:sz w:val="20"/>
          <w:szCs w:val="20"/>
        </w:rPr>
        <w:t xml:space="preserve"> Evidence: National legislative/regulatory phase-out targets (Dakar Declaration, WSSD Plan of Implementation) </w:t>
      </w:r>
      <w:r w:rsidRPr="00DF6052">
        <w:rPr>
          <w:sz w:val="20"/>
          <w:szCs w:val="20"/>
        </w:rPr>
        <w:lastRenderedPageBreak/>
        <w:t>are the primary mechanism; Partnership-brokered industry commitments (Shell's stated commitment) constitute a secondary market-pressure/voluntary-commitment channel.</w:t>
      </w:r>
      <w:r w:rsidRPr="00DF6052">
        <w:rPr>
          <w:sz w:val="20"/>
          <w:szCs w:val="20"/>
        </w:rPr>
        <w:br/>
        <w:t xml:space="preserve"> Confidence: High — both mechanisms are directly documented with clear primary/secondary weighting.</w:t>
      </w:r>
      <w:r w:rsidRPr="00DF6052">
        <w:rPr>
          <w:sz w:val="20"/>
          <w:szCs w:val="20"/>
        </w:rPr>
        <w:br/>
        <w:t xml:space="preserve"> Source Tag: #6, #4.</w:t>
      </w:r>
    </w:p>
    <w:p w14:paraId="4E6822FE" w14:textId="77777777" w:rsidR="00DF6052" w:rsidRPr="00DF6052" w:rsidRDefault="00DF6052" w:rsidP="00043AF9">
      <w:pPr>
        <w:numPr>
          <w:ilvl w:val="0"/>
          <w:numId w:val="37"/>
        </w:numPr>
        <w:rPr>
          <w:sz w:val="20"/>
          <w:szCs w:val="20"/>
        </w:rPr>
      </w:pPr>
      <w:r w:rsidRPr="00DF6052">
        <w:rPr>
          <w:b/>
          <w:bCs/>
          <w:sz w:val="20"/>
          <w:szCs w:val="20"/>
        </w:rPr>
        <w:t>Coalition size/type/non-obvious allies</w:t>
      </w:r>
      <w:r w:rsidRPr="00DF6052">
        <w:rPr>
          <w:b/>
          <w:bCs/>
          <w:sz w:val="20"/>
          <w:szCs w:val="20"/>
        </w:rPr>
        <w:br/>
      </w:r>
      <w:r w:rsidRPr="00DF6052">
        <w:rPr>
          <w:sz w:val="20"/>
          <w:szCs w:val="20"/>
        </w:rPr>
        <w:t xml:space="preserve"> Evidence: The Partnership explicitly combines UN agencies, national governments (US, Canada named), industry (Shell), and NGOs as named co-members, with World Bank co-authoring regional action plans.</w:t>
      </w:r>
      <w:r w:rsidRPr="00DF6052">
        <w:rPr>
          <w:sz w:val="20"/>
          <w:szCs w:val="20"/>
        </w:rPr>
        <w:br/>
        <w:t xml:space="preserve"> Confidence: High — directly documented, named, multi-sector coalition with non-obvious cross-sector inclusion (industry alongside environmental/health actors).</w:t>
      </w:r>
      <w:r w:rsidRPr="00DF6052">
        <w:rPr>
          <w:sz w:val="20"/>
          <w:szCs w:val="20"/>
        </w:rPr>
        <w:br/>
        <w:t xml:space="preserve"> Source Tag: #1, #4, #6.</w:t>
      </w:r>
    </w:p>
    <w:p w14:paraId="0C1351D4" w14:textId="77777777" w:rsidR="00DF6052" w:rsidRPr="00DF6052" w:rsidRDefault="00DF6052" w:rsidP="00043AF9">
      <w:pPr>
        <w:numPr>
          <w:ilvl w:val="0"/>
          <w:numId w:val="37"/>
        </w:numPr>
        <w:rPr>
          <w:sz w:val="20"/>
          <w:szCs w:val="20"/>
        </w:rPr>
      </w:pPr>
      <w:r w:rsidRPr="00DF6052">
        <w:rPr>
          <w:b/>
          <w:bCs/>
          <w:sz w:val="20"/>
          <w:szCs w:val="20"/>
        </w:rPr>
        <w:t>Economic disruption required</w:t>
      </w:r>
      <w:r w:rsidRPr="00DF6052">
        <w:rPr>
          <w:b/>
          <w:bCs/>
          <w:sz w:val="20"/>
          <w:szCs w:val="20"/>
        </w:rPr>
        <w:br/>
      </w:r>
      <w:r w:rsidRPr="00DF6052">
        <w:rPr>
          <w:sz w:val="20"/>
          <w:szCs w:val="20"/>
        </w:rPr>
        <w:t xml:space="preserve"> Evidence: Required changes centre on refining process adjustments and engine/vehicle compatibility (valve seat recession) — technical and infrastructural, not a fundamental change to the fuel industry's business model.</w:t>
      </w:r>
      <w:r w:rsidRPr="00DF6052">
        <w:rPr>
          <w:sz w:val="20"/>
          <w:szCs w:val="20"/>
        </w:rPr>
        <w:br/>
        <w:t xml:space="preserve"> Confidence: Medium — direct technical evidence supports a moderate rating, but no source explicitly quantifies overall economic disruption scale.</w:t>
      </w:r>
      <w:r w:rsidRPr="00DF6052">
        <w:rPr>
          <w:sz w:val="20"/>
          <w:szCs w:val="20"/>
        </w:rPr>
        <w:br/>
        <w:t xml:space="preserve"> Source Tag: #3.</w:t>
      </w:r>
    </w:p>
    <w:p w14:paraId="5C36F201" w14:textId="77777777" w:rsidR="00DF6052" w:rsidRPr="00DF6052" w:rsidRDefault="00DF6052" w:rsidP="00043AF9">
      <w:pPr>
        <w:numPr>
          <w:ilvl w:val="0"/>
          <w:numId w:val="37"/>
        </w:numPr>
        <w:rPr>
          <w:sz w:val="20"/>
          <w:szCs w:val="20"/>
        </w:rPr>
      </w:pPr>
      <w:r w:rsidRPr="00DF6052">
        <w:rPr>
          <w:b/>
          <w:bCs/>
          <w:sz w:val="20"/>
          <w:szCs w:val="20"/>
        </w:rPr>
        <w:t>Speed of change achieved</w:t>
      </w:r>
      <w:r w:rsidRPr="00DF6052">
        <w:rPr>
          <w:b/>
          <w:bCs/>
          <w:sz w:val="20"/>
          <w:szCs w:val="20"/>
        </w:rPr>
        <w:br/>
      </w:r>
      <w:r w:rsidRPr="00DF6052">
        <w:rPr>
          <w:sz w:val="20"/>
          <w:szCs w:val="20"/>
        </w:rPr>
        <w:t xml:space="preserve"> Evidence: Sub-Saharan Africa achieved lead-free status by December 2005, roughly three years after PCFV's September 2002 launch; over 50% of Sub-Saharan African gasoline was already lead-free by May 2004, evidencing rapid regional cascade once underway.</w:t>
      </w:r>
      <w:r w:rsidRPr="00DF6052">
        <w:rPr>
          <w:sz w:val="20"/>
          <w:szCs w:val="20"/>
        </w:rPr>
        <w:br/>
        <w:t xml:space="preserve"> Confidence: High — directly dated milestones from primary sources establish a clear, fast timeline.</w:t>
      </w:r>
      <w:r w:rsidRPr="00DF6052">
        <w:rPr>
          <w:sz w:val="20"/>
          <w:szCs w:val="20"/>
        </w:rPr>
        <w:br/>
        <w:t xml:space="preserve"> Source Tag: #8, #9.</w:t>
      </w:r>
    </w:p>
    <w:p w14:paraId="42EEEED9" w14:textId="77777777" w:rsidR="00DF6052" w:rsidRPr="00DF6052" w:rsidRDefault="00DF6052" w:rsidP="00043AF9">
      <w:pPr>
        <w:numPr>
          <w:ilvl w:val="0"/>
          <w:numId w:val="37"/>
        </w:numPr>
        <w:rPr>
          <w:sz w:val="20"/>
          <w:szCs w:val="20"/>
        </w:rPr>
      </w:pPr>
      <w:r w:rsidRPr="00DF6052">
        <w:rPr>
          <w:b/>
          <w:bCs/>
          <w:sz w:val="20"/>
          <w:szCs w:val="20"/>
        </w:rPr>
        <w:t>Scale of change achieved</w:t>
      </w:r>
      <w:r w:rsidRPr="00DF6052">
        <w:rPr>
          <w:b/>
          <w:bCs/>
          <w:sz w:val="20"/>
          <w:szCs w:val="20"/>
        </w:rPr>
        <w:br/>
      </w:r>
      <w:r w:rsidRPr="00DF6052">
        <w:rPr>
          <w:sz w:val="20"/>
          <w:szCs w:val="20"/>
        </w:rPr>
        <w:t xml:space="preserve"> Evidence: UNEP's August 2021 announcement explicitly frames Algeria's phase-out as completing the global elimination of leaded petrol as a road fuel, the endpoint of the 20-year campaign.</w:t>
      </w:r>
      <w:r w:rsidRPr="00DF6052">
        <w:rPr>
          <w:sz w:val="20"/>
          <w:szCs w:val="20"/>
        </w:rPr>
        <w:br/>
        <w:t xml:space="preserve"> Confidence: High — direct, explicit primary documentation of global-scale completion.</w:t>
      </w:r>
      <w:r w:rsidRPr="00DF6052">
        <w:rPr>
          <w:sz w:val="20"/>
          <w:szCs w:val="20"/>
        </w:rPr>
        <w:br/>
        <w:t xml:space="preserve"> Source Tag: #12, #13.</w:t>
      </w:r>
    </w:p>
    <w:p w14:paraId="634DD68B" w14:textId="77777777" w:rsidR="00DF6052" w:rsidRPr="00DF6052" w:rsidRDefault="00DF6052" w:rsidP="00043AF9">
      <w:pPr>
        <w:numPr>
          <w:ilvl w:val="0"/>
          <w:numId w:val="37"/>
        </w:numPr>
        <w:rPr>
          <w:sz w:val="20"/>
          <w:szCs w:val="20"/>
        </w:rPr>
      </w:pPr>
      <w:r w:rsidRPr="00DF6052">
        <w:rPr>
          <w:b/>
          <w:bCs/>
          <w:sz w:val="20"/>
          <w:szCs w:val="20"/>
        </w:rPr>
        <w:t>Public sentiment starting point</w:t>
      </w:r>
      <w:r w:rsidRPr="00DF6052">
        <w:rPr>
          <w:b/>
          <w:bCs/>
          <w:sz w:val="20"/>
          <w:szCs w:val="20"/>
        </w:rPr>
        <w:br/>
      </w:r>
      <w:r w:rsidRPr="00DF6052">
        <w:rPr>
          <w:sz w:val="20"/>
          <w:szCs w:val="20"/>
        </w:rPr>
        <w:t xml:space="preserve"> Evidence: No locked source provides direct public-opinion or polling data on attitudes toward leaded petrol prior to or during the campaign.</w:t>
      </w:r>
      <w:r w:rsidRPr="00DF6052">
        <w:rPr>
          <w:sz w:val="20"/>
          <w:szCs w:val="20"/>
        </w:rPr>
        <w:br/>
        <w:t xml:space="preserve"> Confidence: Insufficient evidence in locked source set — missing: any polling/survey source on public sentiment regarding leaded fuel.</w:t>
      </w:r>
      <w:r w:rsidRPr="00DF6052">
        <w:rPr>
          <w:sz w:val="20"/>
          <w:szCs w:val="20"/>
        </w:rPr>
        <w:br/>
        <w:t xml:space="preserve"> Source Tag: None (gap).</w:t>
      </w:r>
    </w:p>
    <w:p w14:paraId="3C2C78EC" w14:textId="77777777" w:rsidR="00DF6052" w:rsidRPr="00DF6052" w:rsidRDefault="00DF6052" w:rsidP="00043AF9">
      <w:pPr>
        <w:numPr>
          <w:ilvl w:val="0"/>
          <w:numId w:val="37"/>
        </w:numPr>
        <w:rPr>
          <w:sz w:val="20"/>
          <w:szCs w:val="20"/>
        </w:rPr>
      </w:pPr>
      <w:r w:rsidRPr="00DF6052">
        <w:rPr>
          <w:b/>
          <w:bCs/>
          <w:sz w:val="20"/>
          <w:szCs w:val="20"/>
        </w:rPr>
        <w:t>Legal/regulatory landscape</w:t>
      </w:r>
      <w:r w:rsidRPr="00DF6052">
        <w:rPr>
          <w:b/>
          <w:bCs/>
          <w:sz w:val="20"/>
          <w:szCs w:val="20"/>
        </w:rPr>
        <w:br/>
      </w:r>
      <w:r w:rsidRPr="00DF6052">
        <w:rPr>
          <w:sz w:val="20"/>
          <w:szCs w:val="20"/>
        </w:rPr>
        <w:t>Evidence: Academic literature on lead poisoning in Africa pre-dating the campaign explicitly characterises low public awareness of lead hazards as a systemic barrier to prevention, alongside poverty and weak regulatory capacity (Tong et al. 2000; WHO 2015, summarised in Mathee et al. review). The EHN investigative report on global lead action confirms that "there's little awareness in low- and middle-income countries about how pollution damages children's health" — characterising the baseline the PCFV campaign entered. In high-income countries (the PCFV's institutional funders and technical partners), phaseouts were already complete by the 1980s–90s, making pre-campaign general public sentiment in those markets largely irrelevant to campaign mechanics. UNEP's own 2021 retrospective confirms the PCFV operated primarily through government-to-government technical assistance and awareness-raising with officials, not public mobilisation. The variable is not Insufficient — the starting point is clearly low awareness in target regions — but it is structurally less relevant to this campaign than to consumer-facing or democratically contested campaigns, because the campaign's primary mechanism was intergovernmental, not public-pressure-driven</w:t>
      </w:r>
    </w:p>
    <w:p w14:paraId="1127DB31" w14:textId="77777777" w:rsidR="00DF6052" w:rsidRPr="00DF6052" w:rsidRDefault="00DF6052" w:rsidP="00DF6052">
      <w:pPr>
        <w:rPr>
          <w:sz w:val="20"/>
          <w:szCs w:val="20"/>
        </w:rPr>
      </w:pPr>
      <w:r w:rsidRPr="00DF6052">
        <w:rPr>
          <w:sz w:val="20"/>
          <w:szCs w:val="20"/>
        </w:rPr>
        <w:t>Confidence: Medium — low awareness in target regions is directly and consistently evidenced; no pre-2002 polling from Sub-Saharan Africa on public attitudes to leaded petrol specifically was found, which is expected given the data-scarce environment. Characterisation draws on academic literature and retrospective analysis rather than dedicated pre-campaign surveys</w:t>
      </w:r>
    </w:p>
    <w:p w14:paraId="41109807" w14:textId="77777777" w:rsidR="00DF6052" w:rsidRPr="00DF6052" w:rsidRDefault="00DF6052" w:rsidP="00DF6052">
      <w:pPr>
        <w:rPr>
          <w:sz w:val="20"/>
          <w:szCs w:val="20"/>
        </w:rPr>
      </w:pPr>
      <w:r w:rsidRPr="00DF6052">
        <w:rPr>
          <w:sz w:val="20"/>
          <w:szCs w:val="20"/>
        </w:rPr>
        <w:lastRenderedPageBreak/>
        <w:t>Source Tag: Mathee et al. (lead poisoning South Africa literature, via ResearchGate); EHN investigative report (via web search); UNEP 2021 press release (locked source #12 </w:t>
      </w:r>
    </w:p>
    <w:p w14:paraId="34A52B58" w14:textId="77777777" w:rsidR="00DF6052" w:rsidRPr="00DF6052" w:rsidRDefault="00DF6052" w:rsidP="00043AF9">
      <w:pPr>
        <w:numPr>
          <w:ilvl w:val="0"/>
          <w:numId w:val="38"/>
        </w:numPr>
        <w:rPr>
          <w:sz w:val="20"/>
          <w:szCs w:val="20"/>
        </w:rPr>
      </w:pPr>
      <w:r w:rsidRPr="00DF6052">
        <w:rPr>
          <w:b/>
          <w:bCs/>
          <w:sz w:val="20"/>
          <w:szCs w:val="20"/>
        </w:rPr>
        <w:t>Narrative dominance</w:t>
      </w:r>
      <w:r w:rsidRPr="00DF6052">
        <w:rPr>
          <w:b/>
          <w:bCs/>
          <w:sz w:val="20"/>
          <w:szCs w:val="20"/>
        </w:rPr>
        <w:br/>
      </w:r>
      <w:r w:rsidRPr="00DF6052">
        <w:rPr>
          <w:sz w:val="20"/>
          <w:szCs w:val="20"/>
        </w:rPr>
        <w:t xml:space="preserve"> Evidence: AFR/732 directly attributes Africa's lag to low awareness and "misconceptions," indicating no strong pre-existing public narrative needed to be displaced — rather, a narrative had to be built from a largely blank or misinformed baseline.</w:t>
      </w:r>
      <w:r w:rsidRPr="00DF6052">
        <w:rPr>
          <w:sz w:val="20"/>
          <w:szCs w:val="20"/>
        </w:rPr>
        <w:br/>
        <w:t xml:space="preserve"> Confidence: Medium — strong direct evidence for low initial narrative dominance, but no locked source explicitly tracks narrative dominance over the full 2002–2021 window.</w:t>
      </w:r>
      <w:r w:rsidRPr="00DF6052">
        <w:rPr>
          <w:sz w:val="20"/>
          <w:szCs w:val="20"/>
        </w:rPr>
        <w:br/>
        <w:t xml:space="preserve"> Source Tag: #6.</w:t>
      </w:r>
    </w:p>
    <w:p w14:paraId="3F7CB0E6" w14:textId="77777777" w:rsidR="00DF6052" w:rsidRPr="00DF6052" w:rsidRDefault="00DF6052" w:rsidP="00043AF9">
      <w:pPr>
        <w:numPr>
          <w:ilvl w:val="0"/>
          <w:numId w:val="39"/>
        </w:numPr>
        <w:rPr>
          <w:sz w:val="20"/>
          <w:szCs w:val="20"/>
        </w:rPr>
      </w:pPr>
      <w:r w:rsidRPr="00DF6052">
        <w:rPr>
          <w:b/>
          <w:bCs/>
          <w:sz w:val="20"/>
          <w:szCs w:val="20"/>
        </w:rPr>
        <w:t>Notable Tactics</w:t>
      </w:r>
      <w:r w:rsidRPr="00DF6052">
        <w:rPr>
          <w:b/>
          <w:bCs/>
          <w:sz w:val="20"/>
          <w:szCs w:val="20"/>
        </w:rPr>
        <w:br/>
      </w:r>
      <w:r w:rsidRPr="00DF6052">
        <w:rPr>
          <w:sz w:val="20"/>
          <w:szCs w:val="20"/>
        </w:rPr>
        <w:t xml:space="preserve"> a. Multi-sector Partnership launched at a major summit.</w:t>
      </w:r>
      <w:r w:rsidRPr="00DF6052">
        <w:rPr>
          <w:sz w:val="20"/>
          <w:szCs w:val="20"/>
        </w:rPr>
        <w:br/>
        <w:t xml:space="preserve"> Evidence: #1 documents formation explicitly tied to the World Summit on Sustainable Development.</w:t>
      </w:r>
      <w:r w:rsidRPr="00DF6052">
        <w:rPr>
          <w:sz w:val="20"/>
          <w:szCs w:val="20"/>
        </w:rPr>
        <w:br/>
        <w:t xml:space="preserve"> Confidence: High. Source Tag: #1.</w:t>
      </w:r>
      <w:r w:rsidRPr="00DF6052">
        <w:rPr>
          <w:sz w:val="20"/>
          <w:szCs w:val="20"/>
        </w:rPr>
        <w:br/>
        <w:t xml:space="preserve"> b. Sequenced sub-regional phase-out workshops.</w:t>
      </w:r>
      <w:r w:rsidRPr="00DF6052">
        <w:rPr>
          <w:sz w:val="20"/>
          <w:szCs w:val="20"/>
        </w:rPr>
        <w:br/>
        <w:t xml:space="preserve"> Evidence: #6 documents distinct, sequenced workshops across East, West, Southern, and planned Central Africa.</w:t>
      </w:r>
      <w:r w:rsidRPr="00DF6052">
        <w:rPr>
          <w:sz w:val="20"/>
          <w:szCs w:val="20"/>
        </w:rPr>
        <w:br/>
        <w:t xml:space="preserve"> Confidence: High. Source Tag: #6.</w:t>
      </w:r>
      <w:r w:rsidRPr="00DF6052">
        <w:rPr>
          <w:sz w:val="20"/>
          <w:szCs w:val="20"/>
        </w:rPr>
        <w:br/>
        <w:t xml:space="preserve"> c. Colour-coded progress-tracking maps.</w:t>
      </w:r>
      <w:r w:rsidRPr="00DF6052">
        <w:rPr>
          <w:sz w:val="20"/>
          <w:szCs w:val="20"/>
        </w:rPr>
        <w:br/>
        <w:t xml:space="preserve"> Evidence: #6 directly describes maps "gradually turning blue" as a visibility/progress tool.</w:t>
      </w:r>
      <w:r w:rsidRPr="00DF6052">
        <w:rPr>
          <w:sz w:val="20"/>
          <w:szCs w:val="20"/>
        </w:rPr>
        <w:br/>
        <w:t xml:space="preserve"> Confidence: High. Source Tag: #6.</w:t>
      </w:r>
      <w:r w:rsidRPr="00DF6052">
        <w:rPr>
          <w:sz w:val="20"/>
          <w:szCs w:val="20"/>
        </w:rPr>
        <w:br/>
        <w:t xml:space="preserve"> d. Local scientific data collection to ground harm.</w:t>
      </w:r>
      <w:r w:rsidRPr="00DF6052">
        <w:rPr>
          <w:sz w:val="20"/>
          <w:szCs w:val="20"/>
        </w:rPr>
        <w:br/>
        <w:t xml:space="preserve"> Evidence: #6 documents joint UNEP/JKUAT lead-level testing in Kenyan soil and produce with specific figures.</w:t>
      </w:r>
      <w:r w:rsidRPr="00DF6052">
        <w:rPr>
          <w:sz w:val="20"/>
          <w:szCs w:val="20"/>
        </w:rPr>
        <w:br/>
        <w:t xml:space="preserve"> Confidence: High. Source Tag: #6.</w:t>
      </w:r>
      <w:r w:rsidRPr="00DF6052">
        <w:rPr>
          <w:sz w:val="20"/>
          <w:szCs w:val="20"/>
        </w:rPr>
        <w:br/>
        <w:t xml:space="preserve"> e. Legal/criminal enforcement alongside cooperative partnership.</w:t>
      </w:r>
      <w:r w:rsidRPr="00DF6052">
        <w:rPr>
          <w:sz w:val="20"/>
          <w:szCs w:val="20"/>
        </w:rPr>
        <w:br/>
        <w:t xml:space="preserve"> Evidence: #7 documents the Innospec FCPA prosecution as a parallel enforcement track.</w:t>
      </w:r>
      <w:r w:rsidRPr="00DF6052">
        <w:rPr>
          <w:sz w:val="20"/>
          <w:szCs w:val="20"/>
        </w:rPr>
        <w:br/>
        <w:t xml:space="preserve"> Confidence: High. Source Tag: #7.</w:t>
      </w:r>
    </w:p>
    <w:p w14:paraId="2D9B50E8" w14:textId="77777777" w:rsidR="00DF6052" w:rsidRPr="00DF6052" w:rsidRDefault="00641196" w:rsidP="00DF6052">
      <w:pPr>
        <w:rPr>
          <w:sz w:val="20"/>
          <w:szCs w:val="20"/>
        </w:rPr>
      </w:pPr>
      <w:r>
        <w:rPr>
          <w:sz w:val="20"/>
          <w:szCs w:val="20"/>
        </w:rPr>
        <w:pict w14:anchorId="7F9AA778">
          <v:rect id="_x0000_i1050" style="width:0;height:1.5pt" o:hralign="center" o:hrstd="t" o:hr="t" fillcolor="#a0a0a0" stroked="f"/>
        </w:pict>
      </w:r>
    </w:p>
    <w:p w14:paraId="3A7B9698" w14:textId="77777777" w:rsidR="00DF6052" w:rsidRPr="00DF6052" w:rsidRDefault="00DF6052" w:rsidP="00DF6052">
      <w:pPr>
        <w:rPr>
          <w:b/>
          <w:bCs/>
          <w:sz w:val="20"/>
          <w:szCs w:val="20"/>
        </w:rPr>
      </w:pPr>
      <w:r w:rsidRPr="00DF6052">
        <w:rPr>
          <w:b/>
          <w:bCs/>
          <w:sz w:val="20"/>
          <w:szCs w:val="20"/>
        </w:rPr>
        <w:t>SOURCE-TO-VARIABLE MAPPING</w:t>
      </w:r>
    </w:p>
    <w:tbl>
      <w:tblPr>
        <w:tblW w:w="0" w:type="auto"/>
        <w:tblCellMar>
          <w:top w:w="15" w:type="dxa"/>
          <w:left w:w="15" w:type="dxa"/>
          <w:bottom w:w="15" w:type="dxa"/>
          <w:right w:w="15" w:type="dxa"/>
        </w:tblCellMar>
        <w:tblLook w:val="04A0" w:firstRow="1" w:lastRow="0" w:firstColumn="1" w:lastColumn="0" w:noHBand="0" w:noVBand="1"/>
      </w:tblPr>
      <w:tblGrid>
        <w:gridCol w:w="4159"/>
        <w:gridCol w:w="6307"/>
      </w:tblGrid>
      <w:tr w:rsidR="00DF6052" w:rsidRPr="00DF6052" w14:paraId="06927A8A" w14:textId="77777777">
        <w:trPr>
          <w:trHeight w:val="515"/>
        </w:trPr>
        <w:tc>
          <w:tcPr>
            <w:tcW w:w="0" w:type="auto"/>
            <w:tcMar>
              <w:top w:w="100" w:type="dxa"/>
              <w:left w:w="100" w:type="dxa"/>
              <w:bottom w:w="100" w:type="dxa"/>
              <w:right w:w="100" w:type="dxa"/>
            </w:tcMar>
            <w:hideMark/>
          </w:tcPr>
          <w:p w14:paraId="324D158B" w14:textId="77777777" w:rsidR="00DF6052" w:rsidRPr="00DF6052" w:rsidRDefault="00DF6052" w:rsidP="00DF6052">
            <w:pPr>
              <w:rPr>
                <w:sz w:val="20"/>
                <w:szCs w:val="20"/>
              </w:rPr>
            </w:pPr>
            <w:r w:rsidRPr="00DF6052">
              <w:rPr>
                <w:b/>
                <w:bCs/>
                <w:sz w:val="20"/>
                <w:szCs w:val="20"/>
              </w:rPr>
              <w:t>Source</w:t>
            </w:r>
          </w:p>
        </w:tc>
        <w:tc>
          <w:tcPr>
            <w:tcW w:w="0" w:type="auto"/>
            <w:tcMar>
              <w:top w:w="100" w:type="dxa"/>
              <w:left w:w="100" w:type="dxa"/>
              <w:bottom w:w="100" w:type="dxa"/>
              <w:right w:w="100" w:type="dxa"/>
            </w:tcMar>
            <w:hideMark/>
          </w:tcPr>
          <w:p w14:paraId="5240448B" w14:textId="77777777" w:rsidR="00DF6052" w:rsidRPr="00DF6052" w:rsidRDefault="00DF6052" w:rsidP="00DF6052">
            <w:pPr>
              <w:rPr>
                <w:sz w:val="20"/>
                <w:szCs w:val="20"/>
              </w:rPr>
            </w:pPr>
            <w:r w:rsidRPr="00DF6052">
              <w:rPr>
                <w:b/>
                <w:bCs/>
                <w:sz w:val="20"/>
                <w:szCs w:val="20"/>
              </w:rPr>
              <w:t>Variables</w:t>
            </w:r>
          </w:p>
        </w:tc>
      </w:tr>
      <w:tr w:rsidR="00DF6052" w:rsidRPr="00DF6052" w14:paraId="120788C7" w14:textId="77777777">
        <w:trPr>
          <w:trHeight w:val="800"/>
        </w:trPr>
        <w:tc>
          <w:tcPr>
            <w:tcW w:w="0" w:type="auto"/>
            <w:tcMar>
              <w:top w:w="100" w:type="dxa"/>
              <w:left w:w="100" w:type="dxa"/>
              <w:bottom w:w="100" w:type="dxa"/>
              <w:right w:w="100" w:type="dxa"/>
            </w:tcMar>
            <w:hideMark/>
          </w:tcPr>
          <w:p w14:paraId="3C73C524" w14:textId="77777777" w:rsidR="00DF6052" w:rsidRPr="00DF6052" w:rsidRDefault="00DF6052" w:rsidP="00DF6052">
            <w:pPr>
              <w:rPr>
                <w:sz w:val="20"/>
                <w:szCs w:val="20"/>
              </w:rPr>
            </w:pPr>
            <w:r w:rsidRPr="00DF6052">
              <w:rPr>
                <w:sz w:val="20"/>
                <w:szCs w:val="20"/>
              </w:rPr>
              <w:t>#1 UNEP/PCFV, "The Fuels Campaign"</w:t>
            </w:r>
          </w:p>
        </w:tc>
        <w:tc>
          <w:tcPr>
            <w:tcW w:w="0" w:type="auto"/>
            <w:tcMar>
              <w:top w:w="100" w:type="dxa"/>
              <w:left w:w="100" w:type="dxa"/>
              <w:bottom w:w="100" w:type="dxa"/>
              <w:right w:w="100" w:type="dxa"/>
            </w:tcMar>
            <w:hideMark/>
          </w:tcPr>
          <w:p w14:paraId="405EDB15" w14:textId="77777777" w:rsidR="00DF6052" w:rsidRPr="00DF6052" w:rsidRDefault="00DF6052" w:rsidP="00DF6052">
            <w:pPr>
              <w:rPr>
                <w:sz w:val="20"/>
                <w:szCs w:val="20"/>
              </w:rPr>
            </w:pPr>
            <w:r w:rsidRPr="00DF6052">
              <w:rPr>
                <w:sz w:val="20"/>
                <w:szCs w:val="20"/>
              </w:rPr>
              <w:t>1, 5, 8, 15a</w:t>
            </w:r>
          </w:p>
        </w:tc>
      </w:tr>
      <w:tr w:rsidR="00DF6052" w:rsidRPr="00DF6052" w14:paraId="29E0F489" w14:textId="77777777">
        <w:trPr>
          <w:trHeight w:val="800"/>
        </w:trPr>
        <w:tc>
          <w:tcPr>
            <w:tcW w:w="0" w:type="auto"/>
            <w:tcMar>
              <w:top w:w="100" w:type="dxa"/>
              <w:left w:w="100" w:type="dxa"/>
              <w:bottom w:w="100" w:type="dxa"/>
              <w:right w:w="100" w:type="dxa"/>
            </w:tcMar>
            <w:hideMark/>
          </w:tcPr>
          <w:p w14:paraId="4616ED18" w14:textId="77777777" w:rsidR="00DF6052" w:rsidRPr="00DF6052" w:rsidRDefault="00DF6052" w:rsidP="00DF6052">
            <w:pPr>
              <w:rPr>
                <w:sz w:val="20"/>
                <w:szCs w:val="20"/>
              </w:rPr>
            </w:pPr>
            <w:r w:rsidRPr="00DF6052">
              <w:rPr>
                <w:sz w:val="20"/>
                <w:szCs w:val="20"/>
              </w:rPr>
              <w:t>#2 UNEP/IATP, "Countries Phase Out Leaded Gasoline"</w:t>
            </w:r>
          </w:p>
        </w:tc>
        <w:tc>
          <w:tcPr>
            <w:tcW w:w="0" w:type="auto"/>
            <w:tcMar>
              <w:top w:w="100" w:type="dxa"/>
              <w:left w:w="100" w:type="dxa"/>
              <w:bottom w:w="100" w:type="dxa"/>
              <w:right w:w="100" w:type="dxa"/>
            </w:tcMar>
            <w:hideMark/>
          </w:tcPr>
          <w:p w14:paraId="78929166" w14:textId="77777777" w:rsidR="00DF6052" w:rsidRPr="00DF6052" w:rsidRDefault="00DF6052" w:rsidP="00DF6052">
            <w:pPr>
              <w:rPr>
                <w:sz w:val="20"/>
                <w:szCs w:val="20"/>
              </w:rPr>
            </w:pPr>
            <w:r w:rsidRPr="00DF6052">
              <w:rPr>
                <w:sz w:val="20"/>
                <w:szCs w:val="20"/>
              </w:rPr>
              <w:t>(Phase 1 — no direct variable evidence beyond general framing; orientation only within phases)</w:t>
            </w:r>
          </w:p>
        </w:tc>
      </w:tr>
      <w:tr w:rsidR="00DF6052" w:rsidRPr="00DF6052" w14:paraId="2C80663A" w14:textId="77777777">
        <w:trPr>
          <w:trHeight w:val="800"/>
        </w:trPr>
        <w:tc>
          <w:tcPr>
            <w:tcW w:w="0" w:type="auto"/>
            <w:tcMar>
              <w:top w:w="100" w:type="dxa"/>
              <w:left w:w="100" w:type="dxa"/>
              <w:bottom w:w="100" w:type="dxa"/>
              <w:right w:w="100" w:type="dxa"/>
            </w:tcMar>
            <w:hideMark/>
          </w:tcPr>
          <w:p w14:paraId="3611F6A0" w14:textId="77777777" w:rsidR="00DF6052" w:rsidRPr="00DF6052" w:rsidRDefault="00DF6052" w:rsidP="00DF6052">
            <w:pPr>
              <w:rPr>
                <w:sz w:val="20"/>
                <w:szCs w:val="20"/>
              </w:rPr>
            </w:pPr>
            <w:r w:rsidRPr="00DF6052">
              <w:rPr>
                <w:sz w:val="20"/>
                <w:szCs w:val="20"/>
              </w:rPr>
              <w:t>#3 PCFV Valve Seat Recession report</w:t>
            </w:r>
          </w:p>
        </w:tc>
        <w:tc>
          <w:tcPr>
            <w:tcW w:w="0" w:type="auto"/>
            <w:tcMar>
              <w:top w:w="100" w:type="dxa"/>
              <w:left w:w="100" w:type="dxa"/>
              <w:bottom w:w="100" w:type="dxa"/>
              <w:right w:w="100" w:type="dxa"/>
            </w:tcMar>
            <w:hideMark/>
          </w:tcPr>
          <w:p w14:paraId="6A2F1D35" w14:textId="77777777" w:rsidR="00DF6052" w:rsidRPr="00DF6052" w:rsidRDefault="00DF6052" w:rsidP="00DF6052">
            <w:pPr>
              <w:rPr>
                <w:sz w:val="20"/>
                <w:szCs w:val="20"/>
              </w:rPr>
            </w:pPr>
            <w:r w:rsidRPr="00DF6052">
              <w:rPr>
                <w:sz w:val="20"/>
                <w:szCs w:val="20"/>
              </w:rPr>
              <w:t>6, 9</w:t>
            </w:r>
          </w:p>
        </w:tc>
      </w:tr>
      <w:tr w:rsidR="00DF6052" w:rsidRPr="00DF6052" w14:paraId="044D7124" w14:textId="77777777">
        <w:trPr>
          <w:trHeight w:val="800"/>
        </w:trPr>
        <w:tc>
          <w:tcPr>
            <w:tcW w:w="0" w:type="auto"/>
            <w:tcMar>
              <w:top w:w="100" w:type="dxa"/>
              <w:left w:w="100" w:type="dxa"/>
              <w:bottom w:w="100" w:type="dxa"/>
              <w:right w:w="100" w:type="dxa"/>
            </w:tcMar>
            <w:hideMark/>
          </w:tcPr>
          <w:p w14:paraId="54DE8F18" w14:textId="77777777" w:rsidR="00DF6052" w:rsidRPr="00DF6052" w:rsidRDefault="00DF6052" w:rsidP="00DF6052">
            <w:pPr>
              <w:rPr>
                <w:sz w:val="20"/>
                <w:szCs w:val="20"/>
              </w:rPr>
            </w:pPr>
            <w:r w:rsidRPr="00DF6052">
              <w:rPr>
                <w:sz w:val="20"/>
                <w:szCs w:val="20"/>
              </w:rPr>
              <w:t>#4 World Bank/UNEP/EPA/IPIECA East Africa Action Plan</w:t>
            </w:r>
          </w:p>
        </w:tc>
        <w:tc>
          <w:tcPr>
            <w:tcW w:w="0" w:type="auto"/>
            <w:tcMar>
              <w:top w:w="100" w:type="dxa"/>
              <w:left w:w="100" w:type="dxa"/>
              <w:bottom w:w="100" w:type="dxa"/>
              <w:right w:w="100" w:type="dxa"/>
            </w:tcMar>
            <w:hideMark/>
          </w:tcPr>
          <w:p w14:paraId="79246541" w14:textId="77777777" w:rsidR="00DF6052" w:rsidRPr="00DF6052" w:rsidRDefault="00DF6052" w:rsidP="00DF6052">
            <w:pPr>
              <w:rPr>
                <w:sz w:val="20"/>
                <w:szCs w:val="20"/>
              </w:rPr>
            </w:pPr>
            <w:r w:rsidRPr="00DF6052">
              <w:rPr>
                <w:sz w:val="20"/>
                <w:szCs w:val="20"/>
              </w:rPr>
              <w:t>1, 2, 7, 8, 13</w:t>
            </w:r>
          </w:p>
        </w:tc>
      </w:tr>
      <w:tr w:rsidR="00DF6052" w:rsidRPr="00DF6052" w14:paraId="4F5137C0" w14:textId="77777777">
        <w:trPr>
          <w:trHeight w:val="800"/>
        </w:trPr>
        <w:tc>
          <w:tcPr>
            <w:tcW w:w="0" w:type="auto"/>
            <w:tcMar>
              <w:top w:w="100" w:type="dxa"/>
              <w:left w:w="100" w:type="dxa"/>
              <w:bottom w:w="100" w:type="dxa"/>
              <w:right w:w="100" w:type="dxa"/>
            </w:tcMar>
            <w:hideMark/>
          </w:tcPr>
          <w:p w14:paraId="29FA35BD" w14:textId="77777777" w:rsidR="00DF6052" w:rsidRPr="00DF6052" w:rsidRDefault="00DF6052" w:rsidP="00DF6052">
            <w:pPr>
              <w:rPr>
                <w:sz w:val="20"/>
                <w:szCs w:val="20"/>
              </w:rPr>
            </w:pPr>
            <w:r w:rsidRPr="00DF6052">
              <w:rPr>
                <w:sz w:val="20"/>
                <w:szCs w:val="20"/>
              </w:rPr>
              <w:t>#5 US EPA/IEc Evaluation Report (dual-tagged)</w:t>
            </w:r>
          </w:p>
        </w:tc>
        <w:tc>
          <w:tcPr>
            <w:tcW w:w="0" w:type="auto"/>
            <w:tcMar>
              <w:top w:w="100" w:type="dxa"/>
              <w:left w:w="100" w:type="dxa"/>
              <w:bottom w:w="100" w:type="dxa"/>
              <w:right w:w="100" w:type="dxa"/>
            </w:tcMar>
            <w:hideMark/>
          </w:tcPr>
          <w:p w14:paraId="7EEC6E52" w14:textId="77777777" w:rsidR="00DF6052" w:rsidRPr="00DF6052" w:rsidRDefault="00DF6052" w:rsidP="00DF6052">
            <w:pPr>
              <w:rPr>
                <w:sz w:val="20"/>
                <w:szCs w:val="20"/>
              </w:rPr>
            </w:pPr>
            <w:r w:rsidRPr="00DF6052">
              <w:rPr>
                <w:sz w:val="20"/>
                <w:szCs w:val="20"/>
              </w:rPr>
              <w:t>(no direct variable citation in this case — available for future Phase 2/4 cross-check if gaps emerge)</w:t>
            </w:r>
          </w:p>
        </w:tc>
      </w:tr>
      <w:tr w:rsidR="00DF6052" w:rsidRPr="00DF6052" w14:paraId="0697DF27" w14:textId="77777777">
        <w:trPr>
          <w:trHeight w:val="515"/>
        </w:trPr>
        <w:tc>
          <w:tcPr>
            <w:tcW w:w="0" w:type="auto"/>
            <w:tcMar>
              <w:top w:w="100" w:type="dxa"/>
              <w:left w:w="100" w:type="dxa"/>
              <w:bottom w:w="100" w:type="dxa"/>
              <w:right w:w="100" w:type="dxa"/>
            </w:tcMar>
            <w:hideMark/>
          </w:tcPr>
          <w:p w14:paraId="79D4933E" w14:textId="77777777" w:rsidR="00DF6052" w:rsidRPr="00DF6052" w:rsidRDefault="00DF6052" w:rsidP="00DF6052">
            <w:pPr>
              <w:rPr>
                <w:sz w:val="20"/>
                <w:szCs w:val="20"/>
              </w:rPr>
            </w:pPr>
            <w:r w:rsidRPr="00DF6052">
              <w:rPr>
                <w:sz w:val="20"/>
                <w:szCs w:val="20"/>
              </w:rPr>
              <w:t>#6 AFR/732 UN Press Release</w:t>
            </w:r>
          </w:p>
        </w:tc>
        <w:tc>
          <w:tcPr>
            <w:tcW w:w="0" w:type="auto"/>
            <w:tcMar>
              <w:top w:w="100" w:type="dxa"/>
              <w:left w:w="100" w:type="dxa"/>
              <w:bottom w:w="100" w:type="dxa"/>
              <w:right w:w="100" w:type="dxa"/>
            </w:tcMar>
            <w:hideMark/>
          </w:tcPr>
          <w:p w14:paraId="6B21B133" w14:textId="77777777" w:rsidR="00DF6052" w:rsidRPr="00DF6052" w:rsidRDefault="00DF6052" w:rsidP="00DF6052">
            <w:pPr>
              <w:rPr>
                <w:sz w:val="20"/>
                <w:szCs w:val="20"/>
              </w:rPr>
            </w:pPr>
            <w:r w:rsidRPr="00DF6052">
              <w:rPr>
                <w:sz w:val="20"/>
                <w:szCs w:val="20"/>
              </w:rPr>
              <w:t>4, 5, 6, 7, 8, 13, 14, 15b, 15c, 15d</w:t>
            </w:r>
          </w:p>
        </w:tc>
      </w:tr>
      <w:tr w:rsidR="00DF6052" w:rsidRPr="00DF6052" w14:paraId="6978C3DB" w14:textId="77777777">
        <w:trPr>
          <w:trHeight w:val="515"/>
        </w:trPr>
        <w:tc>
          <w:tcPr>
            <w:tcW w:w="0" w:type="auto"/>
            <w:tcMar>
              <w:top w:w="100" w:type="dxa"/>
              <w:left w:w="100" w:type="dxa"/>
              <w:bottom w:w="100" w:type="dxa"/>
              <w:right w:w="100" w:type="dxa"/>
            </w:tcMar>
            <w:hideMark/>
          </w:tcPr>
          <w:p w14:paraId="0B5884C2" w14:textId="77777777" w:rsidR="00DF6052" w:rsidRPr="00DF6052" w:rsidRDefault="00DF6052" w:rsidP="00DF6052">
            <w:pPr>
              <w:rPr>
                <w:sz w:val="20"/>
                <w:szCs w:val="20"/>
              </w:rPr>
            </w:pPr>
            <w:r w:rsidRPr="00DF6052">
              <w:rPr>
                <w:sz w:val="20"/>
                <w:szCs w:val="20"/>
              </w:rPr>
              <w:lastRenderedPageBreak/>
              <w:t>#7 DOJ, Innospec FCPA</w:t>
            </w:r>
          </w:p>
        </w:tc>
        <w:tc>
          <w:tcPr>
            <w:tcW w:w="0" w:type="auto"/>
            <w:tcMar>
              <w:top w:w="100" w:type="dxa"/>
              <w:left w:w="100" w:type="dxa"/>
              <w:bottom w:w="100" w:type="dxa"/>
              <w:right w:w="100" w:type="dxa"/>
            </w:tcMar>
            <w:hideMark/>
          </w:tcPr>
          <w:p w14:paraId="5DE9B2AF" w14:textId="77777777" w:rsidR="00DF6052" w:rsidRPr="00DF6052" w:rsidRDefault="00DF6052" w:rsidP="00DF6052">
            <w:pPr>
              <w:rPr>
                <w:sz w:val="20"/>
                <w:szCs w:val="20"/>
              </w:rPr>
            </w:pPr>
            <w:r w:rsidRPr="00DF6052">
              <w:rPr>
                <w:sz w:val="20"/>
                <w:szCs w:val="20"/>
              </w:rPr>
              <w:t>1, 3, 4, 13, 15e</w:t>
            </w:r>
          </w:p>
        </w:tc>
      </w:tr>
      <w:tr w:rsidR="00DF6052" w:rsidRPr="00DF6052" w14:paraId="6B84B01B" w14:textId="77777777">
        <w:trPr>
          <w:trHeight w:val="800"/>
        </w:trPr>
        <w:tc>
          <w:tcPr>
            <w:tcW w:w="0" w:type="auto"/>
            <w:tcMar>
              <w:top w:w="100" w:type="dxa"/>
              <w:left w:w="100" w:type="dxa"/>
              <w:bottom w:w="100" w:type="dxa"/>
              <w:right w:w="100" w:type="dxa"/>
            </w:tcMar>
            <w:hideMark/>
          </w:tcPr>
          <w:p w14:paraId="58FE920E" w14:textId="77777777" w:rsidR="00DF6052" w:rsidRPr="00DF6052" w:rsidRDefault="00DF6052" w:rsidP="00DF6052">
            <w:pPr>
              <w:rPr>
                <w:sz w:val="20"/>
                <w:szCs w:val="20"/>
              </w:rPr>
            </w:pPr>
            <w:r w:rsidRPr="00DF6052">
              <w:rPr>
                <w:sz w:val="20"/>
                <w:szCs w:val="20"/>
              </w:rPr>
              <w:t>#8 UN News, Sub-Saharan Africa lead-free</w:t>
            </w:r>
          </w:p>
        </w:tc>
        <w:tc>
          <w:tcPr>
            <w:tcW w:w="0" w:type="auto"/>
            <w:tcMar>
              <w:top w:w="100" w:type="dxa"/>
              <w:left w:w="100" w:type="dxa"/>
              <w:bottom w:w="100" w:type="dxa"/>
              <w:right w:w="100" w:type="dxa"/>
            </w:tcMar>
            <w:hideMark/>
          </w:tcPr>
          <w:p w14:paraId="393619B3" w14:textId="77777777" w:rsidR="00DF6052" w:rsidRPr="00DF6052" w:rsidRDefault="00DF6052" w:rsidP="00DF6052">
            <w:pPr>
              <w:rPr>
                <w:sz w:val="20"/>
                <w:szCs w:val="20"/>
              </w:rPr>
            </w:pPr>
            <w:r w:rsidRPr="00DF6052">
              <w:rPr>
                <w:sz w:val="20"/>
                <w:szCs w:val="20"/>
              </w:rPr>
              <w:t>10</w:t>
            </w:r>
          </w:p>
        </w:tc>
      </w:tr>
      <w:tr w:rsidR="00DF6052" w:rsidRPr="00DF6052" w14:paraId="4B9114C0" w14:textId="77777777">
        <w:trPr>
          <w:trHeight w:val="800"/>
        </w:trPr>
        <w:tc>
          <w:tcPr>
            <w:tcW w:w="0" w:type="auto"/>
            <w:tcMar>
              <w:top w:w="100" w:type="dxa"/>
              <w:left w:w="100" w:type="dxa"/>
              <w:bottom w:w="100" w:type="dxa"/>
              <w:right w:w="100" w:type="dxa"/>
            </w:tcMar>
            <w:hideMark/>
          </w:tcPr>
          <w:p w14:paraId="5C64F1F8" w14:textId="77777777" w:rsidR="00DF6052" w:rsidRPr="00DF6052" w:rsidRDefault="00DF6052" w:rsidP="00DF6052">
            <w:pPr>
              <w:rPr>
                <w:sz w:val="20"/>
                <w:szCs w:val="20"/>
              </w:rPr>
            </w:pPr>
            <w:r w:rsidRPr="00DF6052">
              <w:rPr>
                <w:sz w:val="20"/>
                <w:szCs w:val="20"/>
              </w:rPr>
              <w:t>#9 UNEP/Horizon Solutions, "50% lead free"</w:t>
            </w:r>
          </w:p>
        </w:tc>
        <w:tc>
          <w:tcPr>
            <w:tcW w:w="0" w:type="auto"/>
            <w:tcMar>
              <w:top w:w="100" w:type="dxa"/>
              <w:left w:w="100" w:type="dxa"/>
              <w:bottom w:w="100" w:type="dxa"/>
              <w:right w:w="100" w:type="dxa"/>
            </w:tcMar>
            <w:hideMark/>
          </w:tcPr>
          <w:p w14:paraId="27A3A22B" w14:textId="77777777" w:rsidR="00DF6052" w:rsidRPr="00DF6052" w:rsidRDefault="00DF6052" w:rsidP="00DF6052">
            <w:pPr>
              <w:rPr>
                <w:sz w:val="20"/>
                <w:szCs w:val="20"/>
              </w:rPr>
            </w:pPr>
            <w:r w:rsidRPr="00DF6052">
              <w:rPr>
                <w:sz w:val="20"/>
                <w:szCs w:val="20"/>
              </w:rPr>
              <w:t>10</w:t>
            </w:r>
          </w:p>
        </w:tc>
      </w:tr>
      <w:tr w:rsidR="00DF6052" w:rsidRPr="00DF6052" w14:paraId="3E0F49B0" w14:textId="77777777">
        <w:trPr>
          <w:trHeight w:val="800"/>
        </w:trPr>
        <w:tc>
          <w:tcPr>
            <w:tcW w:w="0" w:type="auto"/>
            <w:tcMar>
              <w:top w:w="100" w:type="dxa"/>
              <w:left w:w="100" w:type="dxa"/>
              <w:bottom w:w="100" w:type="dxa"/>
              <w:right w:w="100" w:type="dxa"/>
            </w:tcMar>
            <w:hideMark/>
          </w:tcPr>
          <w:p w14:paraId="17D5EE62" w14:textId="77777777" w:rsidR="00DF6052" w:rsidRPr="00DF6052" w:rsidRDefault="00DF6052" w:rsidP="00DF6052">
            <w:pPr>
              <w:rPr>
                <w:sz w:val="20"/>
                <w:szCs w:val="20"/>
              </w:rPr>
            </w:pPr>
            <w:r w:rsidRPr="00DF6052">
              <w:rPr>
                <w:sz w:val="20"/>
                <w:szCs w:val="20"/>
              </w:rPr>
              <w:t>#10 EPA/IEc Evaluation (dual-tag, see #5)</w:t>
            </w:r>
          </w:p>
        </w:tc>
        <w:tc>
          <w:tcPr>
            <w:tcW w:w="0" w:type="auto"/>
            <w:tcMar>
              <w:top w:w="100" w:type="dxa"/>
              <w:left w:w="100" w:type="dxa"/>
              <w:bottom w:w="100" w:type="dxa"/>
              <w:right w:w="100" w:type="dxa"/>
            </w:tcMar>
            <w:hideMark/>
          </w:tcPr>
          <w:p w14:paraId="0526D6E9" w14:textId="77777777" w:rsidR="00DF6052" w:rsidRPr="00DF6052" w:rsidRDefault="00DF6052" w:rsidP="00DF6052">
            <w:pPr>
              <w:rPr>
                <w:sz w:val="20"/>
                <w:szCs w:val="20"/>
              </w:rPr>
            </w:pPr>
            <w:r w:rsidRPr="00DF6052">
              <w:rPr>
                <w:sz w:val="20"/>
                <w:szCs w:val="20"/>
              </w:rPr>
              <w:t>(no direct variable citation)</w:t>
            </w:r>
          </w:p>
        </w:tc>
      </w:tr>
      <w:tr w:rsidR="00DF6052" w:rsidRPr="00DF6052" w14:paraId="42AA2E66" w14:textId="77777777">
        <w:trPr>
          <w:trHeight w:val="800"/>
        </w:trPr>
        <w:tc>
          <w:tcPr>
            <w:tcW w:w="0" w:type="auto"/>
            <w:tcMar>
              <w:top w:w="100" w:type="dxa"/>
              <w:left w:w="100" w:type="dxa"/>
              <w:bottom w:w="100" w:type="dxa"/>
              <w:right w:w="100" w:type="dxa"/>
            </w:tcMar>
            <w:hideMark/>
          </w:tcPr>
          <w:p w14:paraId="6B8AC2BF" w14:textId="77777777" w:rsidR="00DF6052" w:rsidRPr="00DF6052" w:rsidRDefault="00DF6052" w:rsidP="00DF6052">
            <w:pPr>
              <w:rPr>
                <w:sz w:val="20"/>
                <w:szCs w:val="20"/>
              </w:rPr>
            </w:pPr>
            <w:r w:rsidRPr="00DF6052">
              <w:rPr>
                <w:sz w:val="20"/>
                <w:szCs w:val="20"/>
              </w:rPr>
              <w:t>#11 UNEP Evaluation Office, Todd &amp; Todd</w:t>
            </w:r>
          </w:p>
        </w:tc>
        <w:tc>
          <w:tcPr>
            <w:tcW w:w="0" w:type="auto"/>
            <w:tcMar>
              <w:top w:w="100" w:type="dxa"/>
              <w:left w:w="100" w:type="dxa"/>
              <w:bottom w:w="100" w:type="dxa"/>
              <w:right w:w="100" w:type="dxa"/>
            </w:tcMar>
            <w:hideMark/>
          </w:tcPr>
          <w:p w14:paraId="455E031C" w14:textId="77777777" w:rsidR="00DF6052" w:rsidRPr="00DF6052" w:rsidRDefault="00DF6052" w:rsidP="00DF6052">
            <w:pPr>
              <w:rPr>
                <w:sz w:val="20"/>
                <w:szCs w:val="20"/>
              </w:rPr>
            </w:pPr>
            <w:r w:rsidRPr="00DF6052">
              <w:rPr>
                <w:sz w:val="20"/>
                <w:szCs w:val="20"/>
              </w:rPr>
              <w:t>(no direct variable citation in this coding pass — available for future audit)</w:t>
            </w:r>
          </w:p>
        </w:tc>
      </w:tr>
      <w:tr w:rsidR="00DF6052" w:rsidRPr="00DF6052" w14:paraId="03A2E17C" w14:textId="77777777">
        <w:trPr>
          <w:trHeight w:val="800"/>
        </w:trPr>
        <w:tc>
          <w:tcPr>
            <w:tcW w:w="0" w:type="auto"/>
            <w:tcMar>
              <w:top w:w="100" w:type="dxa"/>
              <w:left w:w="100" w:type="dxa"/>
              <w:bottom w:w="100" w:type="dxa"/>
              <w:right w:w="100" w:type="dxa"/>
            </w:tcMar>
            <w:hideMark/>
          </w:tcPr>
          <w:p w14:paraId="15C2E81B" w14:textId="77777777" w:rsidR="00DF6052" w:rsidRPr="00DF6052" w:rsidRDefault="00DF6052" w:rsidP="00DF6052">
            <w:pPr>
              <w:rPr>
                <w:sz w:val="20"/>
                <w:szCs w:val="20"/>
              </w:rPr>
            </w:pPr>
            <w:r w:rsidRPr="00DF6052">
              <w:rPr>
                <w:sz w:val="20"/>
                <w:szCs w:val="20"/>
              </w:rPr>
              <w:t>#12 UNEP, "Era of Leaded Petrol Over"</w:t>
            </w:r>
          </w:p>
        </w:tc>
        <w:tc>
          <w:tcPr>
            <w:tcW w:w="0" w:type="auto"/>
            <w:tcMar>
              <w:top w:w="100" w:type="dxa"/>
              <w:left w:w="100" w:type="dxa"/>
              <w:bottom w:w="100" w:type="dxa"/>
              <w:right w:w="100" w:type="dxa"/>
            </w:tcMar>
            <w:hideMark/>
          </w:tcPr>
          <w:p w14:paraId="714F209B" w14:textId="77777777" w:rsidR="00DF6052" w:rsidRPr="00DF6052" w:rsidRDefault="00DF6052" w:rsidP="00DF6052">
            <w:pPr>
              <w:rPr>
                <w:sz w:val="20"/>
                <w:szCs w:val="20"/>
              </w:rPr>
            </w:pPr>
            <w:r w:rsidRPr="00DF6052">
              <w:rPr>
                <w:sz w:val="20"/>
                <w:szCs w:val="20"/>
              </w:rPr>
              <w:t>11</w:t>
            </w:r>
          </w:p>
        </w:tc>
      </w:tr>
      <w:tr w:rsidR="00DF6052" w:rsidRPr="00DF6052" w14:paraId="13C3FB05" w14:textId="77777777">
        <w:trPr>
          <w:trHeight w:val="800"/>
        </w:trPr>
        <w:tc>
          <w:tcPr>
            <w:tcW w:w="0" w:type="auto"/>
            <w:tcMar>
              <w:top w:w="100" w:type="dxa"/>
              <w:left w:w="100" w:type="dxa"/>
              <w:bottom w:w="100" w:type="dxa"/>
              <w:right w:w="100" w:type="dxa"/>
            </w:tcMar>
            <w:hideMark/>
          </w:tcPr>
          <w:p w14:paraId="1AB0F93D" w14:textId="77777777" w:rsidR="00DF6052" w:rsidRPr="00DF6052" w:rsidRDefault="00DF6052" w:rsidP="00DF6052">
            <w:pPr>
              <w:rPr>
                <w:sz w:val="20"/>
                <w:szCs w:val="20"/>
              </w:rPr>
            </w:pPr>
            <w:r w:rsidRPr="00DF6052">
              <w:rPr>
                <w:sz w:val="20"/>
                <w:szCs w:val="20"/>
              </w:rPr>
              <w:t>#13 UNEP, "Inside the 20-Year Campaign"</w:t>
            </w:r>
          </w:p>
        </w:tc>
        <w:tc>
          <w:tcPr>
            <w:tcW w:w="0" w:type="auto"/>
            <w:tcMar>
              <w:top w:w="100" w:type="dxa"/>
              <w:left w:w="100" w:type="dxa"/>
              <w:bottom w:w="100" w:type="dxa"/>
              <w:right w:w="100" w:type="dxa"/>
            </w:tcMar>
            <w:hideMark/>
          </w:tcPr>
          <w:p w14:paraId="12564C90" w14:textId="77777777" w:rsidR="00DF6052" w:rsidRPr="00DF6052" w:rsidRDefault="00DF6052" w:rsidP="00DF6052">
            <w:pPr>
              <w:rPr>
                <w:sz w:val="20"/>
                <w:szCs w:val="20"/>
              </w:rPr>
            </w:pPr>
            <w:r w:rsidRPr="00DF6052">
              <w:rPr>
                <w:sz w:val="20"/>
                <w:szCs w:val="20"/>
              </w:rPr>
              <w:t>11</w:t>
            </w:r>
          </w:p>
        </w:tc>
      </w:tr>
    </w:tbl>
    <w:p w14:paraId="6081A5F6" w14:textId="77777777" w:rsidR="00DF6052" w:rsidRPr="00DF6052" w:rsidRDefault="00DF6052" w:rsidP="00DF6052">
      <w:pPr>
        <w:rPr>
          <w:b/>
          <w:bCs/>
          <w:sz w:val="20"/>
          <w:szCs w:val="20"/>
        </w:rPr>
      </w:pPr>
      <w:r w:rsidRPr="00DF6052">
        <w:rPr>
          <w:b/>
          <w:bCs/>
          <w:sz w:val="20"/>
          <w:szCs w:val="20"/>
        </w:rPr>
        <w:t>OBSERVATION</w:t>
      </w:r>
    </w:p>
    <w:p w14:paraId="68C8C294" w14:textId="77777777" w:rsidR="00DF6052" w:rsidRPr="00DF6052" w:rsidRDefault="00DF6052" w:rsidP="00DF6052">
      <w:pPr>
        <w:rPr>
          <w:sz w:val="20"/>
          <w:szCs w:val="20"/>
        </w:rPr>
      </w:pPr>
      <w:r w:rsidRPr="00DF6052">
        <w:rPr>
          <w:sz w:val="20"/>
          <w:szCs w:val="20"/>
        </w:rPr>
        <w:t>Evidence is unevenly distributed: Source #6 (AFR/732) is unusually dense, contributing to 10 of 15 entries given its rich descriptive detail, while five sources (#2, #5/#10 dual-tag, #11) contributed no entries in this pass despite being on the locked list. This reflects #6 being a substantive, content-rich primary document rather than a coding shortfall, but the unused sources represent under-leveraged evidence worth revisiting.</w:t>
      </w:r>
    </w:p>
    <w:p w14:paraId="78DD9D66" w14:textId="77777777" w:rsidR="00DF6052" w:rsidRPr="00DF6052" w:rsidRDefault="00DF6052" w:rsidP="00DF6052">
      <w:pPr>
        <w:rPr>
          <w:b/>
          <w:bCs/>
          <w:sz w:val="20"/>
          <w:szCs w:val="20"/>
        </w:rPr>
      </w:pPr>
      <w:r w:rsidRPr="00DF6052">
        <w:rPr>
          <w:b/>
          <w:bCs/>
          <w:sz w:val="20"/>
          <w:szCs w:val="20"/>
        </w:rPr>
        <w:t>CASE-LEVEL SUMMARY</w:t>
      </w:r>
    </w:p>
    <w:p w14:paraId="68EC5900" w14:textId="77777777" w:rsidR="00DF6052" w:rsidRPr="00DF6052" w:rsidRDefault="00DF6052" w:rsidP="00DF6052">
      <w:pPr>
        <w:rPr>
          <w:sz w:val="20"/>
          <w:szCs w:val="20"/>
        </w:rPr>
      </w:pPr>
      <w:r w:rsidRPr="00DF6052">
        <w:rPr>
          <w:b/>
          <w:bCs/>
          <w:sz w:val="20"/>
          <w:szCs w:val="20"/>
        </w:rPr>
        <w:t>Low confidence / insufficient:</w:t>
      </w:r>
    </w:p>
    <w:p w14:paraId="4E1F3415" w14:textId="77777777" w:rsidR="00DF6052" w:rsidRPr="00DF6052" w:rsidRDefault="00DF6052" w:rsidP="00043AF9">
      <w:pPr>
        <w:numPr>
          <w:ilvl w:val="0"/>
          <w:numId w:val="40"/>
        </w:numPr>
        <w:rPr>
          <w:sz w:val="20"/>
          <w:szCs w:val="20"/>
        </w:rPr>
      </w:pPr>
      <w:r w:rsidRPr="00DF6052">
        <w:rPr>
          <w:sz w:val="20"/>
          <w:szCs w:val="20"/>
        </w:rPr>
        <w:t>#12 Public sentiment starting point — Insufficient evidence; case runs on 13 variables.</w:t>
      </w:r>
    </w:p>
    <w:p w14:paraId="1E1DF6BA" w14:textId="77777777" w:rsidR="00DF6052" w:rsidRPr="00DF6052" w:rsidRDefault="00DF6052" w:rsidP="00DF6052">
      <w:pPr>
        <w:rPr>
          <w:sz w:val="20"/>
          <w:szCs w:val="20"/>
        </w:rPr>
      </w:pPr>
      <w:r w:rsidRPr="00DF6052">
        <w:rPr>
          <w:b/>
          <w:bCs/>
          <w:sz w:val="20"/>
          <w:szCs w:val="20"/>
        </w:rPr>
        <w:t>Medium confidence:</w:t>
      </w:r>
    </w:p>
    <w:p w14:paraId="7E8F0306" w14:textId="77777777" w:rsidR="00DF6052" w:rsidRPr="00DF6052" w:rsidRDefault="00DF6052" w:rsidP="00043AF9">
      <w:pPr>
        <w:numPr>
          <w:ilvl w:val="0"/>
          <w:numId w:val="41"/>
        </w:numPr>
        <w:rPr>
          <w:sz w:val="20"/>
          <w:szCs w:val="20"/>
        </w:rPr>
      </w:pPr>
      <w:r w:rsidRPr="00DF6052">
        <w:rPr>
          <w:sz w:val="20"/>
          <w:szCs w:val="20"/>
        </w:rPr>
        <w:t>#3 Strength of opposition — only one opposing actor documented; limits generalisation.</w:t>
      </w:r>
    </w:p>
    <w:p w14:paraId="4F740BFE" w14:textId="77777777" w:rsidR="00DF6052" w:rsidRPr="00DF6052" w:rsidRDefault="00DF6052" w:rsidP="00043AF9">
      <w:pPr>
        <w:numPr>
          <w:ilvl w:val="0"/>
          <w:numId w:val="41"/>
        </w:numPr>
        <w:rPr>
          <w:sz w:val="20"/>
          <w:szCs w:val="20"/>
        </w:rPr>
      </w:pPr>
      <w:r w:rsidRPr="00DF6052">
        <w:rPr>
          <w:sz w:val="20"/>
          <w:szCs w:val="20"/>
        </w:rPr>
        <w:t>#9 Economic disruption required — technical evidence supports rating but no source quantifies disruption directly.</w:t>
      </w:r>
    </w:p>
    <w:p w14:paraId="31FCF135" w14:textId="77777777" w:rsidR="00DF6052" w:rsidRPr="00DF6052" w:rsidRDefault="00DF6052" w:rsidP="00043AF9">
      <w:pPr>
        <w:numPr>
          <w:ilvl w:val="0"/>
          <w:numId w:val="41"/>
        </w:numPr>
        <w:rPr>
          <w:sz w:val="20"/>
          <w:szCs w:val="20"/>
        </w:rPr>
      </w:pPr>
      <w:r w:rsidRPr="00DF6052">
        <w:rPr>
          <w:sz w:val="20"/>
          <w:szCs w:val="20"/>
        </w:rPr>
        <w:t>#14 Narrative dominance — strong for initial state, but no source tracks the full window.</w:t>
      </w:r>
    </w:p>
    <w:p w14:paraId="4FBE413D" w14:textId="77777777" w:rsidR="00DF6052" w:rsidRPr="00DF6052" w:rsidRDefault="00DF6052" w:rsidP="00DF6052">
      <w:pPr>
        <w:rPr>
          <w:sz w:val="20"/>
          <w:szCs w:val="20"/>
        </w:rPr>
      </w:pPr>
      <w:r w:rsidRPr="00DF6052">
        <w:rPr>
          <w:b/>
          <w:bCs/>
          <w:sz w:val="20"/>
          <w:szCs w:val="20"/>
        </w:rPr>
        <w:t>Phase 1/4 exception use:</w:t>
      </w:r>
      <w:r w:rsidRPr="00DF6052">
        <w:rPr>
          <w:sz w:val="20"/>
          <w:szCs w:val="20"/>
        </w:rPr>
        <w:t xml:space="preserve"> None invoked. All Legal/regulatory landscape and Narrative dominance coding drew from in-window sources (#4, #6, #7) — no need to reach outside the locked set via the Phase 1/4 exception clause.</w:t>
      </w:r>
    </w:p>
    <w:p w14:paraId="50D9A9D6" w14:textId="77777777" w:rsidR="00DF6052" w:rsidRPr="00DF6052" w:rsidRDefault="00DF6052" w:rsidP="00DF6052">
      <w:pPr>
        <w:rPr>
          <w:b/>
          <w:bCs/>
          <w:sz w:val="20"/>
          <w:szCs w:val="20"/>
        </w:rPr>
      </w:pPr>
      <w:r w:rsidRPr="00DF6052">
        <w:rPr>
          <w:b/>
          <w:bCs/>
          <w:sz w:val="20"/>
          <w:szCs w:val="20"/>
        </w:rPr>
        <w:t>OVERALL CASE CONFIDENCE/QUALITY FLAG</w:t>
      </w:r>
    </w:p>
    <w:p w14:paraId="49554711" w14:textId="77777777" w:rsidR="00DF6052" w:rsidRPr="00DF6052" w:rsidRDefault="00DF6052" w:rsidP="00DF6052">
      <w:pPr>
        <w:rPr>
          <w:sz w:val="20"/>
          <w:szCs w:val="20"/>
        </w:rPr>
      </w:pPr>
      <w:r w:rsidRPr="00DF6052">
        <w:rPr>
          <w:b/>
          <w:bCs/>
          <w:sz w:val="20"/>
          <w:szCs w:val="20"/>
        </w:rPr>
        <w:t>High.</w:t>
      </w:r>
      <w:r w:rsidRPr="00DF6052">
        <w:rPr>
          <w:sz w:val="20"/>
          <w:szCs w:val="20"/>
        </w:rPr>
        <w:t xml:space="preserve"> 11 of 14 substantive variables sit at High confidence, source diversity spans UN agencies, World Bank, US government (DOJ, EPA), and primary press releases, and the campaign is fully resolved (no Mixed/Unresolved codings needed). The single gap (#12) is a genuine absence rather than a sourcing failure, and three sources remain under-leveraged — worth a targeted re-check before this case is finalised, but not a confidence-lowering issue on its own.</w:t>
      </w:r>
    </w:p>
    <w:p w14:paraId="67942639" w14:textId="77777777" w:rsidR="00DF6052" w:rsidRPr="00DF6052" w:rsidRDefault="00DF6052" w:rsidP="00DF6052">
      <w:pPr>
        <w:rPr>
          <w:b/>
          <w:bCs/>
          <w:sz w:val="20"/>
          <w:szCs w:val="20"/>
        </w:rPr>
      </w:pPr>
      <w:r w:rsidRPr="00DF6052">
        <w:rPr>
          <w:b/>
          <w:bCs/>
          <w:sz w:val="20"/>
          <w:szCs w:val="20"/>
        </w:rPr>
        <w:t>HINDSIGHT NOTES</w:t>
      </w:r>
    </w:p>
    <w:p w14:paraId="398B4AC0" w14:textId="77777777" w:rsidR="00DF6052" w:rsidRPr="00DF6052" w:rsidRDefault="00DF6052" w:rsidP="00043AF9">
      <w:pPr>
        <w:numPr>
          <w:ilvl w:val="0"/>
          <w:numId w:val="42"/>
        </w:numPr>
        <w:rPr>
          <w:sz w:val="20"/>
          <w:szCs w:val="20"/>
        </w:rPr>
      </w:pPr>
      <w:r w:rsidRPr="00DF6052">
        <w:rPr>
          <w:sz w:val="20"/>
          <w:szCs w:val="20"/>
        </w:rPr>
        <w:lastRenderedPageBreak/>
        <w:t>Hindsight note: Source #5/#10 (EPA evaluation report) and #11 (UNEP Todd &amp; Todd evaluation) were not drawn on in this pass despite being locked and dual-tagged — a follow-up read could plausibly add or strengthen evidence for Strength of opposition (#3), Economic disruption (#9), or Scale of change (#11), not used in coding above.</w:t>
      </w:r>
    </w:p>
    <w:p w14:paraId="2FBF6CC3" w14:textId="77777777" w:rsidR="00DF6052" w:rsidRPr="00DF6052" w:rsidRDefault="00DF6052" w:rsidP="00043AF9">
      <w:pPr>
        <w:numPr>
          <w:ilvl w:val="0"/>
          <w:numId w:val="42"/>
        </w:numPr>
        <w:rPr>
          <w:sz w:val="20"/>
          <w:szCs w:val="20"/>
        </w:rPr>
      </w:pPr>
      <w:r w:rsidRPr="00DF6052">
        <w:rPr>
          <w:sz w:val="20"/>
          <w:szCs w:val="20"/>
        </w:rPr>
        <w:t>No hindsight notes applicable for Public sentiment starting point — gap is structural (no baseline source exists in the locked set), not resolvable by later evidence, since the campaign is already fully resolved/closed.</w:t>
      </w:r>
    </w:p>
    <w:p w14:paraId="43B4DD86" w14:textId="586D7563" w:rsidR="0082197F" w:rsidRDefault="0082197F" w:rsidP="0082197F">
      <w:pPr>
        <w:pStyle w:val="Heading1"/>
      </w:pPr>
      <w:r>
        <w:t>CASE 13: Rana Plaza/Bangladesh Accord origin</w:t>
      </w:r>
    </w:p>
    <w:p w14:paraId="7B41312C" w14:textId="77777777" w:rsidR="00CC2E47" w:rsidRPr="00CC2E47" w:rsidRDefault="00CC2E47" w:rsidP="00CC2E47">
      <w:pPr>
        <w:rPr>
          <w:sz w:val="20"/>
          <w:szCs w:val="20"/>
        </w:rPr>
      </w:pPr>
      <w:r w:rsidRPr="00CC2E47">
        <w:rPr>
          <w:sz w:val="20"/>
          <w:szCs w:val="20"/>
        </w:rPr>
        <w:t>LIST B — EVIDENCE / CONFIDENCE / SOURCE TAG</w:t>
      </w:r>
    </w:p>
    <w:p w14:paraId="0F086604" w14:textId="77777777" w:rsidR="00CC2E47" w:rsidRPr="00CC2E47" w:rsidRDefault="00CC2E47" w:rsidP="00CC2E47">
      <w:pPr>
        <w:numPr>
          <w:ilvl w:val="0"/>
          <w:numId w:val="57"/>
        </w:numPr>
        <w:rPr>
          <w:sz w:val="20"/>
          <w:szCs w:val="20"/>
        </w:rPr>
      </w:pPr>
      <w:r w:rsidRPr="00CC2E47">
        <w:rPr>
          <w:sz w:val="20"/>
          <w:szCs w:val="20"/>
        </w:rPr>
        <w:t>Target type</w:t>
      </w:r>
      <w:r w:rsidRPr="00CC2E47">
        <w:rPr>
          <w:sz w:val="20"/>
          <w:szCs w:val="20"/>
        </w:rPr>
        <w:br/>
        <w:t>Evidence: The Accord's text (Source #1) obligates signatory companies directly — financing inspection and remediation programmes, maintaining sourcing relationships, and accepting binding arbitration — while requiring those companies to compel their supplier factories to accept inspection and implement corrective actions. This is a two-tier, brand-primary structure in which factory compliance is a downstream consequence of brand obligation.</w:t>
      </w:r>
      <w:r w:rsidRPr="00CC2E47">
        <w:rPr>
          <w:sz w:val="20"/>
          <w:szCs w:val="20"/>
        </w:rPr>
        <w:br/>
        <w:t>Confidence: High — directly stated in the primary agreement text.</w:t>
      </w:r>
      <w:r w:rsidRPr="00CC2E47">
        <w:rPr>
          <w:sz w:val="20"/>
          <w:szCs w:val="20"/>
        </w:rPr>
        <w:br/>
        <w:t>Source Tag: #1.</w:t>
      </w:r>
    </w:p>
    <w:p w14:paraId="503E52D6" w14:textId="77777777" w:rsidR="00CC2E47" w:rsidRPr="00CC2E47" w:rsidRDefault="00CC2E47" w:rsidP="00CC2E47">
      <w:pPr>
        <w:numPr>
          <w:ilvl w:val="0"/>
          <w:numId w:val="57"/>
        </w:numPr>
        <w:rPr>
          <w:sz w:val="20"/>
          <w:szCs w:val="20"/>
        </w:rPr>
      </w:pPr>
      <w:r w:rsidRPr="00CC2E47">
        <w:rPr>
          <w:sz w:val="20"/>
          <w:szCs w:val="20"/>
        </w:rPr>
        <w:t>Concentration of decision-making power</w:t>
      </w:r>
      <w:r w:rsidRPr="00CC2E47">
        <w:rPr>
          <w:sz w:val="20"/>
          <w:szCs w:val="20"/>
        </w:rPr>
        <w:br/>
        <w:t>Evidence: A seven-member Steering Committee (three brand seats, three union seats, one ILO-appointed neutral chair) held binding decision authority for the entire programme including inspector selection, budget oversight, and dispute resolution. Individual factories had no decision-making role. Source #1 specifies this governance structure explicitly.</w:t>
      </w:r>
      <w:r w:rsidRPr="00CC2E47">
        <w:rPr>
          <w:sz w:val="20"/>
          <w:szCs w:val="20"/>
        </w:rPr>
        <w:br/>
        <w:t>Confidence: High — governance structure explicitly specified in the Accord text.</w:t>
      </w:r>
      <w:r w:rsidRPr="00CC2E47">
        <w:rPr>
          <w:sz w:val="20"/>
          <w:szCs w:val="20"/>
        </w:rPr>
        <w:br/>
        <w:t>Source Tag: #1.</w:t>
      </w:r>
    </w:p>
    <w:p w14:paraId="01FCBC1B" w14:textId="77777777" w:rsidR="00CC2E47" w:rsidRPr="00CC2E47" w:rsidRDefault="00CC2E47" w:rsidP="00CC2E47">
      <w:pPr>
        <w:numPr>
          <w:ilvl w:val="0"/>
          <w:numId w:val="57"/>
        </w:numPr>
        <w:rPr>
          <w:sz w:val="20"/>
          <w:szCs w:val="20"/>
        </w:rPr>
      </w:pPr>
      <w:r w:rsidRPr="00CC2E47">
        <w:rPr>
          <w:sz w:val="20"/>
          <w:szCs w:val="20"/>
        </w:rPr>
        <w:t>Strength of opposition</w:t>
      </w:r>
      <w:r w:rsidRPr="00CC2E47">
        <w:rPr>
          <w:sz w:val="20"/>
          <w:szCs w:val="20"/>
        </w:rPr>
        <w:br/>
        <w:t>Evidence: Only two named holdout brands — Walmart and Gap — are documented as resisting the Accord; Sources #6 and #7 document them forming a separate, less rigorous non-binding scheme rather than an organised counter-lobby. No consolidated industry trade association opposition is evidenced in the locked source set.</w:t>
      </w:r>
      <w:r w:rsidRPr="00CC2E47">
        <w:rPr>
          <w:sz w:val="20"/>
          <w:szCs w:val="20"/>
        </w:rPr>
        <w:br/>
        <w:t>Confidence: Medium — well-evidenced for the documented opponents, but the locked set may not capture quieter or undocumented resistance from other non-signing brands generally.</w:t>
      </w:r>
      <w:r w:rsidRPr="00CC2E47">
        <w:rPr>
          <w:sz w:val="20"/>
          <w:szCs w:val="20"/>
        </w:rPr>
        <w:br/>
        <w:t>Source Tag: #6, #7.</w:t>
      </w:r>
    </w:p>
    <w:p w14:paraId="57C8FB8C" w14:textId="77777777" w:rsidR="00CC2E47" w:rsidRPr="00CC2E47" w:rsidRDefault="00CC2E47" w:rsidP="00CC2E47">
      <w:pPr>
        <w:numPr>
          <w:ilvl w:val="0"/>
          <w:numId w:val="57"/>
        </w:numPr>
        <w:rPr>
          <w:sz w:val="20"/>
          <w:szCs w:val="20"/>
        </w:rPr>
      </w:pPr>
      <w:r w:rsidRPr="00CC2E47">
        <w:rPr>
          <w:sz w:val="20"/>
          <w:szCs w:val="20"/>
        </w:rPr>
        <w:t>Type of opposition</w:t>
      </w:r>
      <w:r w:rsidRPr="00CC2E47">
        <w:rPr>
          <w:sz w:val="20"/>
          <w:szCs w:val="20"/>
        </w:rPr>
        <w:br/>
        <w:t>Evidence: Sources #6 and #7 document Walmart and Gap's creation of a parallel non-binding Alliance scheme as a co-optation tactic, framing voluntary corporate self-governance as equivalent to the binding Accord. Source #8 (ICCR, 2016) documents slow remediation implementation as a softer, ongoing form of resistance from signatory factories and brands three years into the Accord's operation.</w:t>
      </w:r>
      <w:r w:rsidRPr="00CC2E47">
        <w:rPr>
          <w:sz w:val="20"/>
          <w:szCs w:val="20"/>
        </w:rPr>
        <w:br/>
        <w:t>Confidence: High — both forms of opposition are directly documented by primary contemporaneous sources.</w:t>
      </w:r>
      <w:r w:rsidRPr="00CC2E47">
        <w:rPr>
          <w:sz w:val="20"/>
          <w:szCs w:val="20"/>
        </w:rPr>
        <w:br/>
        <w:t>Source Tag: #6, #7, #8.</w:t>
      </w:r>
    </w:p>
    <w:p w14:paraId="54671C5A" w14:textId="77777777" w:rsidR="00CC2E47" w:rsidRPr="00CC2E47" w:rsidRDefault="00CC2E47" w:rsidP="00CC2E47">
      <w:pPr>
        <w:numPr>
          <w:ilvl w:val="0"/>
          <w:numId w:val="57"/>
        </w:numPr>
        <w:rPr>
          <w:sz w:val="20"/>
          <w:szCs w:val="20"/>
        </w:rPr>
      </w:pPr>
      <w:r w:rsidRPr="00CC2E47">
        <w:rPr>
          <w:sz w:val="20"/>
          <w:szCs w:val="20"/>
        </w:rPr>
        <w:t>Visibility of harm to the public</w:t>
      </w:r>
      <w:r w:rsidRPr="00CC2E47">
        <w:rPr>
          <w:sz w:val="20"/>
          <w:szCs w:val="20"/>
        </w:rPr>
        <w:br/>
        <w:t>Evidence: The Accord text (Source #1) opens by invoking the goal of preventing further "fires, building collapses, or other accidents" — implicitly referencing the immediately visible, globally reported catastrophe that preceded it. The petition coalition's ability to gather over one million signatures within weeks (Source #4) directly corroborates the public salience of the harm at campaign emergence.</w:t>
      </w:r>
      <w:r w:rsidRPr="00CC2E47">
        <w:rPr>
          <w:sz w:val="20"/>
          <w:szCs w:val="20"/>
        </w:rPr>
        <w:br/>
        <w:t>Confidence: High — visibility at campaign emergence corroborated by the campaign's documented mobilisation speed.</w:t>
      </w:r>
      <w:r w:rsidRPr="00CC2E47">
        <w:rPr>
          <w:sz w:val="20"/>
          <w:szCs w:val="20"/>
        </w:rPr>
        <w:br/>
        <w:t>Source Tag: #1, #4.</w:t>
      </w:r>
    </w:p>
    <w:p w14:paraId="12B78828" w14:textId="77777777" w:rsidR="00CC2E47" w:rsidRPr="00CC2E47" w:rsidRDefault="00CC2E47" w:rsidP="00CC2E47">
      <w:pPr>
        <w:numPr>
          <w:ilvl w:val="0"/>
          <w:numId w:val="57"/>
        </w:numPr>
        <w:rPr>
          <w:sz w:val="20"/>
          <w:szCs w:val="20"/>
        </w:rPr>
      </w:pPr>
      <w:r w:rsidRPr="00CC2E47">
        <w:rPr>
          <w:sz w:val="20"/>
          <w:szCs w:val="20"/>
        </w:rPr>
        <w:t>Degree of behaviour change required</w:t>
      </w:r>
      <w:r w:rsidRPr="00CC2E47">
        <w:rPr>
          <w:sz w:val="20"/>
          <w:szCs w:val="20"/>
        </w:rPr>
        <w:br/>
        <w:t xml:space="preserve">Evidence: The Accord (Source #1) obligates signatory brands to disclose full supplier lists, fund multi-year </w:t>
      </w:r>
      <w:r w:rsidRPr="00CC2E47">
        <w:rPr>
          <w:sz w:val="20"/>
          <w:szCs w:val="20"/>
        </w:rPr>
        <w:lastRenderedPageBreak/>
        <w:t>inspection and remediation programmes, maintain sourcing relationships during factory closures, guarantee workers' continued employment during renovations, and accept binding arbitration enforceable in home-country courts — a substantial structural change from prior voluntary CSR auditing frameworks. Salminen (Source #9) characterises this as a paradigm shift from voluntary to legally binding buyer responsibility with no prior equivalent in global supply chain governance.</w:t>
      </w:r>
      <w:r w:rsidRPr="00CC2E47">
        <w:rPr>
          <w:sz w:val="20"/>
          <w:szCs w:val="20"/>
        </w:rPr>
        <w:br/>
        <w:t>Confidence: High — directly specified across multiple articles of the primary text and confirmed by independent academic analysis.</w:t>
      </w:r>
      <w:r w:rsidRPr="00CC2E47">
        <w:rPr>
          <w:sz w:val="20"/>
          <w:szCs w:val="20"/>
        </w:rPr>
        <w:br/>
        <w:t>Source Tag: #1, #9.</w:t>
      </w:r>
    </w:p>
    <w:p w14:paraId="25EF29BE" w14:textId="77777777" w:rsidR="00CC2E47" w:rsidRPr="00CC2E47" w:rsidRDefault="00CC2E47" w:rsidP="00CC2E47">
      <w:pPr>
        <w:numPr>
          <w:ilvl w:val="0"/>
          <w:numId w:val="57"/>
        </w:numPr>
        <w:rPr>
          <w:sz w:val="20"/>
          <w:szCs w:val="20"/>
        </w:rPr>
      </w:pPr>
      <w:r w:rsidRPr="00CC2E47">
        <w:rPr>
          <w:sz w:val="20"/>
          <w:szCs w:val="20"/>
        </w:rPr>
        <w:t>Role of policy vs market vs cultural shift</w:t>
      </w:r>
      <w:r w:rsidRPr="00CC2E47">
        <w:rPr>
          <w:sz w:val="20"/>
          <w:szCs w:val="20"/>
        </w:rPr>
        <w:br/>
        <w:t>Evidence: The Accord (Source #1) is explicitly a binding legal agreement with arbitration enforcement — a policy/legal mechanism operating through private ordering rather than government regulation. Sources #6 and #7 document market and reputational pressure used as a secondary lever against holdout brands. Source #8 (ICCR) documents financial-risk pressure via institutional investor engagement as a third parallel channel.</w:t>
      </w:r>
      <w:r w:rsidRPr="00CC2E47">
        <w:rPr>
          <w:sz w:val="20"/>
          <w:szCs w:val="20"/>
        </w:rPr>
        <w:br/>
        <w:t>Confidence: High — all three mechanisms and their relative weighting are directly evidenced.</w:t>
      </w:r>
      <w:r w:rsidRPr="00CC2E47">
        <w:rPr>
          <w:sz w:val="20"/>
          <w:szCs w:val="20"/>
        </w:rPr>
        <w:br/>
        <w:t>Source Tag: #1, #6, #7, #8.</w:t>
      </w:r>
    </w:p>
    <w:p w14:paraId="6321353D" w14:textId="77777777" w:rsidR="00CC2E47" w:rsidRPr="00CC2E47" w:rsidRDefault="00CC2E47" w:rsidP="00CC2E47">
      <w:pPr>
        <w:numPr>
          <w:ilvl w:val="0"/>
          <w:numId w:val="57"/>
        </w:numPr>
        <w:rPr>
          <w:sz w:val="20"/>
          <w:szCs w:val="20"/>
        </w:rPr>
      </w:pPr>
      <w:r w:rsidRPr="00CC2E47">
        <w:rPr>
          <w:sz w:val="20"/>
          <w:szCs w:val="20"/>
        </w:rPr>
        <w:t>Coalition size/type/non-obvious allies</w:t>
      </w:r>
      <w:r w:rsidRPr="00CC2E47">
        <w:rPr>
          <w:sz w:val="20"/>
          <w:szCs w:val="20"/>
        </w:rPr>
        <w:br/>
        <w:t>Evidence: Source #4 documents the named petition coalition: Clean Clothes Campaign, IndustriALL Global Union, UNI Global Union, International Labor Rights Forum, Maquila Solidarity Network, United Students Against Sweatshops, and War on Want. Source #5 confirms the ILO as neutral Steering Committee chair — a non-obvious institutional ally lending intergovernmental legitimacy to a private instrument. Source #8 identifies the ICCR's Bangladesh Investor Initiative representing 139 institutional investors with over $3 trillion in collective assets — a non-obvious faith-based and pension-fund ally operating an independent parallel financial-risk pressure track.</w:t>
      </w:r>
      <w:r w:rsidRPr="00CC2E47">
        <w:rPr>
          <w:sz w:val="20"/>
          <w:szCs w:val="20"/>
        </w:rPr>
        <w:br/>
        <w:t>Confidence: High — directly documented and named coalition members across the source set.</w:t>
      </w:r>
      <w:r w:rsidRPr="00CC2E47">
        <w:rPr>
          <w:sz w:val="20"/>
          <w:szCs w:val="20"/>
        </w:rPr>
        <w:br/>
        <w:t>Source Tag: #4, #5, #8.</w:t>
      </w:r>
    </w:p>
    <w:p w14:paraId="0C044F7D" w14:textId="77777777" w:rsidR="00CC2E47" w:rsidRPr="00CC2E47" w:rsidRDefault="00CC2E47" w:rsidP="00CC2E47">
      <w:pPr>
        <w:numPr>
          <w:ilvl w:val="0"/>
          <w:numId w:val="57"/>
        </w:numPr>
        <w:rPr>
          <w:sz w:val="20"/>
          <w:szCs w:val="20"/>
        </w:rPr>
      </w:pPr>
      <w:r w:rsidRPr="00CC2E47">
        <w:rPr>
          <w:sz w:val="20"/>
          <w:szCs w:val="20"/>
        </w:rPr>
        <w:t>Economic disruption required</w:t>
      </w:r>
      <w:r w:rsidRPr="00CC2E47">
        <w:rPr>
          <w:sz w:val="20"/>
          <w:szCs w:val="20"/>
        </w:rPr>
        <w:br/>
        <w:t>Evidence: The Accord (Source #1) required brands to negotiate commercial terms ensuring factories could fund safety upgrades, maintain sourcing volumes for at least two years, and contribute to programme costs scaled to Bangladesh production volume (capped at $500,000 per brand per year), with legal liability exposure testable via arbitration. Salminen (Source #9) identifies the acceptance of legally enforceable financial liability as the structurally novel and commercially disruptive element — unprecedented in voluntary supply chain frameworks at the time.</w:t>
      </w:r>
      <w:r w:rsidRPr="00CC2E47">
        <w:rPr>
          <w:sz w:val="20"/>
          <w:szCs w:val="20"/>
        </w:rPr>
        <w:br/>
        <w:t>Confidence: High — directly specified in the Accord text and independently confirmed by academic legal analysis.</w:t>
      </w:r>
      <w:r w:rsidRPr="00CC2E47">
        <w:rPr>
          <w:sz w:val="20"/>
          <w:szCs w:val="20"/>
        </w:rPr>
        <w:br/>
        <w:t>Source Tag: #1, #9.</w:t>
      </w:r>
    </w:p>
    <w:p w14:paraId="1C6A1839" w14:textId="77777777" w:rsidR="00CC2E47" w:rsidRPr="00CC2E47" w:rsidRDefault="00CC2E47" w:rsidP="00CC2E47">
      <w:pPr>
        <w:numPr>
          <w:ilvl w:val="0"/>
          <w:numId w:val="57"/>
        </w:numPr>
        <w:rPr>
          <w:sz w:val="20"/>
          <w:szCs w:val="20"/>
        </w:rPr>
      </w:pPr>
      <w:r w:rsidRPr="00CC2E47">
        <w:rPr>
          <w:sz w:val="20"/>
          <w:szCs w:val="20"/>
        </w:rPr>
        <w:t>Speed of change achieved</w:t>
      </w:r>
      <w:r w:rsidRPr="00CC2E47">
        <w:rPr>
          <w:sz w:val="20"/>
          <w:szCs w:val="20"/>
        </w:rPr>
        <w:br/>
        <w:t>Evidence: Source #4 documents over one million petition signatures gathered before the 10 May 2013 deadline. Source #5 confirms 91 brands signed by 7 July 2013 — within approximately eight weeks of the Rana Plaza collapse. Source #10 (4-year anniversary, May 2017) documents that after four years fewer than 400 of 1,600+ covered factories had reached 90% or more remediation and only 65 had completed all initial inspection remediation — confirming a fast institutional commitment phase followed by a substantially slower on-the-ground implementation phase.</w:t>
      </w:r>
      <w:r w:rsidRPr="00CC2E47">
        <w:rPr>
          <w:sz w:val="20"/>
          <w:szCs w:val="20"/>
        </w:rPr>
        <w:br/>
        <w:t>Confidence: High — directly dated in primary sources for both phases.</w:t>
      </w:r>
      <w:r w:rsidRPr="00CC2E47">
        <w:rPr>
          <w:sz w:val="20"/>
          <w:szCs w:val="20"/>
        </w:rPr>
        <w:br/>
        <w:t>Source Tag: #4, #5, #10.</w:t>
      </w:r>
    </w:p>
    <w:p w14:paraId="2D3003D2" w14:textId="77777777" w:rsidR="00CC2E47" w:rsidRPr="00CC2E47" w:rsidRDefault="00CC2E47" w:rsidP="00CC2E47">
      <w:pPr>
        <w:numPr>
          <w:ilvl w:val="0"/>
          <w:numId w:val="57"/>
        </w:numPr>
        <w:rPr>
          <w:sz w:val="20"/>
          <w:szCs w:val="20"/>
        </w:rPr>
      </w:pPr>
      <w:r w:rsidRPr="00CC2E47">
        <w:rPr>
          <w:sz w:val="20"/>
          <w:szCs w:val="20"/>
        </w:rPr>
        <w:t>Scale of change achieved</w:t>
      </w:r>
      <w:r w:rsidRPr="00CC2E47">
        <w:rPr>
          <w:sz w:val="20"/>
          <w:szCs w:val="20"/>
        </w:rPr>
        <w:br/>
        <w:t>Evidence: Source #10 documents 1,600+ factories covered across Bangladesh's RMG sector by 2017, with over 300 joint labour-management Safety Committees established. Salminen (Source #9) frames the Accord as establishing an international precedent for legally binding buyer-union supply chain accountability, subsequently cited in successor frameworks. Full remediation remained incomplete at the close of the original 2013–2018 term, requiring a Transition Accord successor agreement.</w:t>
      </w:r>
      <w:r w:rsidRPr="00CC2E47">
        <w:rPr>
          <w:sz w:val="20"/>
          <w:szCs w:val="20"/>
        </w:rPr>
        <w:br/>
        <w:t>Confidence: High — scale and incompleteness both directly evidenced.</w:t>
      </w:r>
      <w:r w:rsidRPr="00CC2E47">
        <w:rPr>
          <w:sz w:val="20"/>
          <w:szCs w:val="20"/>
        </w:rPr>
        <w:br/>
        <w:t>Source Tag: #9, #10.</w:t>
      </w:r>
    </w:p>
    <w:p w14:paraId="260F6336" w14:textId="77777777" w:rsidR="00CC2E47" w:rsidRPr="00CC2E47" w:rsidRDefault="00CC2E47" w:rsidP="00CC2E47">
      <w:pPr>
        <w:numPr>
          <w:ilvl w:val="0"/>
          <w:numId w:val="57"/>
        </w:numPr>
        <w:rPr>
          <w:sz w:val="20"/>
          <w:szCs w:val="20"/>
        </w:rPr>
      </w:pPr>
      <w:r w:rsidRPr="00CC2E47">
        <w:rPr>
          <w:sz w:val="20"/>
          <w:szCs w:val="20"/>
        </w:rPr>
        <w:lastRenderedPageBreak/>
        <w:t>Public sentiment starting point</w:t>
      </w:r>
      <w:r w:rsidRPr="00CC2E47">
        <w:rPr>
          <w:sz w:val="20"/>
          <w:szCs w:val="20"/>
        </w:rPr>
        <w:br/>
        <w:t>Phase 1 exception declared: Sources #2 and #3 are Phase 1 (pre-campaign) sources used here under the standing Phase 1 exception for Variable 12. Both pre-date the April 2013 campaign window and are used exclusively to characterise the baseline public sentiment environment the campaign entered, not as evidence of in-window campaign activity.</w:t>
      </w:r>
      <w:r w:rsidRPr="00CC2E47">
        <w:rPr>
          <w:sz w:val="20"/>
          <w:szCs w:val="20"/>
        </w:rPr>
        <w:br/>
        <w:t>Evidence: The Nielsen Global Survey on Corporate Social Responsibility (Source #2), conducted February–March 2014 across 30,000 respondents in 60 countries, found 52% of global consumers had made a socially responsible purchase in the prior six months and 55% expressed willingness to pay more for products from socially responsible companies — indicating latent consumer sympathy for ethical supply chains. Shaw et al. (Source #3) established via peer-reviewed UK consumer research that respondents expressed strong concern about fair trade and garment worker conditions in principle but demonstrated a consistent and significant attitude-behaviour gap in actual purchasing decisions, with stated concern not translating to changed buying behaviour. Together these sources characterise a public that was sympathetic to the underlying issue but not behaviourally activated or focused on Bangladesh specifically prior to the collapse.</w:t>
      </w:r>
      <w:r w:rsidRPr="00CC2E47">
        <w:rPr>
          <w:sz w:val="20"/>
          <w:szCs w:val="20"/>
        </w:rPr>
        <w:br/>
        <w:t>Confidence: Medium — the Nielsen data (Source #2) was collected February–March 2014, after the collapse, making it an imperfect proxy for strictly pre-campaign sentiment. Shaw et al. (Source #3) is pre-campaign but focused on UK consumers and fair trade framing rather than Bangladesh or garment industry safety specifically. Neither source directly measures public sentiment toward binding brand accountability mechanisms.</w:t>
      </w:r>
      <w:r w:rsidRPr="00CC2E47">
        <w:rPr>
          <w:sz w:val="20"/>
          <w:szCs w:val="20"/>
        </w:rPr>
        <w:br/>
        <w:t>Source Tag: #2, #3.</w:t>
      </w:r>
    </w:p>
    <w:p w14:paraId="375DD2E1" w14:textId="77777777" w:rsidR="00CC2E47" w:rsidRPr="00CC2E47" w:rsidRDefault="00CC2E47" w:rsidP="00CC2E47">
      <w:pPr>
        <w:numPr>
          <w:ilvl w:val="0"/>
          <w:numId w:val="57"/>
        </w:numPr>
        <w:rPr>
          <w:sz w:val="20"/>
          <w:szCs w:val="20"/>
        </w:rPr>
      </w:pPr>
      <w:r w:rsidRPr="00CC2E47">
        <w:rPr>
          <w:sz w:val="20"/>
          <w:szCs w:val="20"/>
        </w:rPr>
        <w:t>Legal/regulatory landscape</w:t>
      </w:r>
      <w:r w:rsidRPr="00CC2E47">
        <w:rPr>
          <w:sz w:val="20"/>
          <w:szCs w:val="20"/>
        </w:rPr>
        <w:br/>
        <w:t>Evidence: No prior binding mechanism existed connecting Western buyers to Bangladeshi supplier-factory safety conditions. The Accord (Source #1) itself created this mechanism via its arbitration clause, governed by UNCITRAL rules and enforceable under the New York Convention. Salminen (Source #9) documents specific arbitration proceedings initiated and upheld against named non-compliant brands in 2016 and 2018, confirming the mechanism was functional and tested within the campaign window.</w:t>
      </w:r>
      <w:r w:rsidRPr="00CC2E47">
        <w:rPr>
          <w:sz w:val="20"/>
          <w:szCs w:val="20"/>
        </w:rPr>
        <w:br/>
        <w:t>Confidence: High — directly evidenced both for the prior absence and the newly created, tested mechanism.</w:t>
      </w:r>
      <w:r w:rsidRPr="00CC2E47">
        <w:rPr>
          <w:sz w:val="20"/>
          <w:szCs w:val="20"/>
        </w:rPr>
        <w:br/>
        <w:t>Source Tag: #1, #9.</w:t>
      </w:r>
    </w:p>
    <w:p w14:paraId="256FC76C" w14:textId="77777777" w:rsidR="00CC2E47" w:rsidRPr="00CC2E47" w:rsidRDefault="00CC2E47" w:rsidP="00CC2E47">
      <w:pPr>
        <w:numPr>
          <w:ilvl w:val="0"/>
          <w:numId w:val="57"/>
        </w:numPr>
        <w:rPr>
          <w:sz w:val="20"/>
          <w:szCs w:val="20"/>
        </w:rPr>
      </w:pPr>
      <w:r w:rsidRPr="00CC2E47">
        <w:rPr>
          <w:sz w:val="20"/>
          <w:szCs w:val="20"/>
        </w:rPr>
        <w:t>Narrative dominance</w:t>
      </w:r>
      <w:r w:rsidRPr="00CC2E47">
        <w:rPr>
          <w:sz w:val="20"/>
          <w:szCs w:val="20"/>
        </w:rPr>
        <w:br/>
        <w:t>Evidence: Sources #6 and #7 establish that by May–June 2013 the central narrative contest was "legally binding vs. voluntary," with IndustriALL and the AFL-CIO explicitly framing Walmart and Gap's alternative as a repetition of failed past approaches. Salminen (Source #9) confirms that by 2018 the Accord's framing had prevailed in academic and policy discourse, characterised as a "new paradigm" and cited as a model for successor frameworks. No source in the locked set documents a counter-narrative achieving comparable traction.</w:t>
      </w:r>
      <w:r w:rsidRPr="00CC2E47">
        <w:rPr>
          <w:sz w:val="20"/>
          <w:szCs w:val="20"/>
        </w:rPr>
        <w:br/>
        <w:t>Confidence: Medium — strong direct evidence for framing dominance within advocacy and academic discourse; less direct evidence on how this shifted broader public sentiment specifically, as distinct from institutional and scholarly discourse.</w:t>
      </w:r>
      <w:r w:rsidRPr="00CC2E47">
        <w:rPr>
          <w:sz w:val="20"/>
          <w:szCs w:val="20"/>
        </w:rPr>
        <w:br/>
        <w:t>Source Tag: #6, #7, #9.</w:t>
      </w:r>
    </w:p>
    <w:p w14:paraId="4C42513A" w14:textId="77777777" w:rsidR="00CC2E47" w:rsidRPr="00CC2E47" w:rsidRDefault="00CC2E47" w:rsidP="00CC2E47">
      <w:pPr>
        <w:numPr>
          <w:ilvl w:val="0"/>
          <w:numId w:val="57"/>
        </w:numPr>
        <w:rPr>
          <w:sz w:val="20"/>
          <w:szCs w:val="20"/>
        </w:rPr>
      </w:pPr>
      <w:r w:rsidRPr="00CC2E47">
        <w:rPr>
          <w:sz w:val="20"/>
          <w:szCs w:val="20"/>
        </w:rPr>
        <w:t>Notable Tactics</w:t>
      </w:r>
      <w:r w:rsidRPr="00CC2E47">
        <w:rPr>
          <w:sz w:val="20"/>
          <w:szCs w:val="20"/>
        </w:rPr>
        <w:br/>
        <w:t>a. Coordinated million-signature petition tied to a hard deadline.</w:t>
      </w:r>
      <w:r w:rsidRPr="00CC2E47">
        <w:rPr>
          <w:sz w:val="20"/>
          <w:szCs w:val="20"/>
        </w:rPr>
        <w:br/>
        <w:t>Evidence: Source #4 directly documents the petition crossing one million signatures, explicitly timed to the 10 May 2013 brand-signing deadline, with named global organisations publicly attributed.</w:t>
      </w:r>
      <w:r w:rsidRPr="00CC2E47">
        <w:rPr>
          <w:sz w:val="20"/>
          <w:szCs w:val="20"/>
        </w:rPr>
        <w:br/>
        <w:t>Confidence: High. Source Tag: #4.</w:t>
      </w:r>
      <w:r w:rsidRPr="00CC2E47">
        <w:rPr>
          <w:sz w:val="20"/>
          <w:szCs w:val="20"/>
        </w:rPr>
        <w:br/>
        <w:t>b. Public naming of specific holdout brands, amplified by union general secretaries' direct quotes.</w:t>
      </w:r>
      <w:r w:rsidRPr="00CC2E47">
        <w:rPr>
          <w:sz w:val="20"/>
          <w:szCs w:val="20"/>
        </w:rPr>
        <w:br/>
        <w:t>Evidence: Sources #6 and #7 name Walmart and Gap directly and quote IndustriALL General Secretary Jyrki Raina and UNI General Secretary Philip Jennings criticising them by name, characterising their alternative scheme as cynical and as a repetition of past failures.</w:t>
      </w:r>
      <w:r w:rsidRPr="00CC2E47">
        <w:rPr>
          <w:sz w:val="20"/>
          <w:szCs w:val="20"/>
        </w:rPr>
        <w:br/>
        <w:t>Confidence: High. Source Tag: #6, #7.</w:t>
      </w:r>
      <w:r w:rsidRPr="00CC2E47">
        <w:rPr>
          <w:sz w:val="20"/>
          <w:szCs w:val="20"/>
        </w:rPr>
        <w:br/>
        <w:t>c. Investor/shareholder coalition parallel pressure.</w:t>
      </w:r>
      <w:r w:rsidRPr="00CC2E47">
        <w:rPr>
          <w:sz w:val="20"/>
          <w:szCs w:val="20"/>
        </w:rPr>
        <w:br/>
        <w:t>Evidence: Source #8 documents the ICCR's Bangladesh Investor Initiative — 139 institutional investors with over $3 trillion in collective assets — issuing coordinated public statements calling on named companies to accelerate remediation and disclosure, operating independently of but in alignment with the union-NGO pressure track.</w:t>
      </w:r>
      <w:r w:rsidRPr="00CC2E47">
        <w:rPr>
          <w:sz w:val="20"/>
          <w:szCs w:val="20"/>
        </w:rPr>
        <w:br/>
        <w:t>Confidence: High. Source Tag: #8.</w:t>
      </w:r>
      <w:r w:rsidRPr="00CC2E47">
        <w:rPr>
          <w:sz w:val="20"/>
          <w:szCs w:val="20"/>
        </w:rPr>
        <w:br/>
      </w:r>
      <w:r w:rsidRPr="00CC2E47">
        <w:rPr>
          <w:sz w:val="20"/>
          <w:szCs w:val="20"/>
        </w:rPr>
        <w:lastRenderedPageBreak/>
        <w:t>d. Binding arbitration clause actually triggered against named brands.</w:t>
      </w:r>
      <w:r w:rsidRPr="00CC2E47">
        <w:rPr>
          <w:sz w:val="20"/>
          <w:szCs w:val="20"/>
        </w:rPr>
        <w:br/>
        <w:t>Evidence: Source #1 (Accord text, paragraphs 5 and 22) establishes the arbitration mechanism and its enforceability in home-country courts. Source #9 (Salminen) documents arbitration proceedings initiated and resulting in settlements against named brands in 2016 and 2018.</w:t>
      </w:r>
      <w:r w:rsidRPr="00CC2E47">
        <w:rPr>
          <w:sz w:val="20"/>
          <w:szCs w:val="20"/>
        </w:rPr>
        <w:br/>
        <w:t>Confidence: High. Source Tag: #1, #9.</w:t>
      </w:r>
      <w:r w:rsidRPr="00CC2E47">
        <w:rPr>
          <w:sz w:val="20"/>
          <w:szCs w:val="20"/>
        </w:rPr>
        <w:br/>
        <w:t>e. Tiered factory classification linked to each brand's actual production volume, preventing partial compliance.</w:t>
      </w:r>
      <w:r w:rsidRPr="00CC2E47">
        <w:rPr>
          <w:sz w:val="20"/>
          <w:szCs w:val="20"/>
        </w:rPr>
        <w:br/>
        <w:t>Evidence: Source #1 specifies the Tier 1/2/3 classification system directly, tying inspection scope to each signatory's actual Bangladesh production volume — Tier 1 and 2 together covering not less than approximately 65% of each brand's production — and specifying that high-risk Tier 3 factories are automatically upgraded to Tier 2 treatment upon inspection.</w:t>
      </w:r>
      <w:r w:rsidRPr="00CC2E47">
        <w:rPr>
          <w:sz w:val="20"/>
          <w:szCs w:val="20"/>
        </w:rPr>
        <w:br/>
        <w:t>Confidence: High. Source Tag: #1.</w:t>
      </w:r>
    </w:p>
    <w:p w14:paraId="68B3DEF2" w14:textId="77777777" w:rsidR="00CC2E47" w:rsidRPr="00CC2E47" w:rsidRDefault="00CC2E47" w:rsidP="00CC2E47">
      <w:pPr>
        <w:rPr>
          <w:sz w:val="20"/>
          <w:szCs w:val="20"/>
        </w:rPr>
      </w:pPr>
      <w:r w:rsidRPr="00CC2E47">
        <w:rPr>
          <w:sz w:val="20"/>
          <w:szCs w:val="20"/>
        </w:rPr>
        <w:t>SOURCE-TO-VARIABLE MAPPING</w:t>
      </w:r>
    </w:p>
    <w:p w14:paraId="577CD044" w14:textId="77777777" w:rsidR="00CC2E47" w:rsidRPr="00CC2E47" w:rsidRDefault="00CC2E47" w:rsidP="00CC2E47">
      <w:pPr>
        <w:rPr>
          <w:sz w:val="20"/>
          <w:szCs w:val="20"/>
        </w:rPr>
      </w:pPr>
      <w:r w:rsidRPr="00CC2E47">
        <w:rPr>
          <w:sz w:val="20"/>
          <w:szCs w:val="20"/>
        </w:rPr>
        <w:t>Source | Variables</w:t>
      </w:r>
      <w:r w:rsidRPr="00CC2E47">
        <w:rPr>
          <w:sz w:val="20"/>
          <w:szCs w:val="20"/>
        </w:rPr>
        <w:br/>
        <w:t>#1 Accord text, International Accord (host), 13 May 2013 | 1, 2, 5, 6, 7, 9, 13, 15d, 15e</w:t>
      </w:r>
      <w:r w:rsidRPr="00CC2E47">
        <w:rPr>
          <w:sz w:val="20"/>
          <w:szCs w:val="20"/>
        </w:rPr>
        <w:br/>
        <w:t>#2 Nielsen, Global CSR Survey press release, 17 June 2014 | 12</w:t>
      </w:r>
      <w:r w:rsidRPr="00CC2E47">
        <w:rPr>
          <w:sz w:val="20"/>
          <w:szCs w:val="20"/>
        </w:rPr>
        <w:br/>
        <w:t>#3 Shaw et al., Journal of Strategic Marketing, 2006 | 12</w:t>
      </w:r>
      <w:r w:rsidRPr="00CC2E47">
        <w:rPr>
          <w:sz w:val="20"/>
          <w:szCs w:val="20"/>
        </w:rPr>
        <w:br/>
        <w:t>#4 CCC/IndustriALL/UNI et al., "1M signatures," 10 May 2013 | 5, 8, 10, 15a</w:t>
      </w:r>
      <w:r w:rsidRPr="00CC2E47">
        <w:rPr>
          <w:sz w:val="20"/>
          <w:szCs w:val="20"/>
        </w:rPr>
        <w:br/>
        <w:t>#5 IndustriALL, "Implementation moving forward," 7 July 2013 | 8, 10</w:t>
      </w:r>
      <w:r w:rsidRPr="00CC2E47">
        <w:rPr>
          <w:sz w:val="20"/>
          <w:szCs w:val="20"/>
        </w:rPr>
        <w:br/>
        <w:t>#6 IndustriALL, "Walmart and GAP run away," 31 May 2013 | 3, 4, 7, 14, 15b</w:t>
      </w:r>
      <w:r w:rsidRPr="00CC2E47">
        <w:rPr>
          <w:sz w:val="20"/>
          <w:szCs w:val="20"/>
        </w:rPr>
        <w:br/>
        <w:t>#7 AFL-CIO, "Walmart, Gap Refuse," 30 May 2013 | 3, 4, 7, 14, 15b</w:t>
      </w:r>
      <w:r w:rsidRPr="00CC2E47">
        <w:rPr>
          <w:sz w:val="20"/>
          <w:szCs w:val="20"/>
        </w:rPr>
        <w:br/>
        <w:t>#8 ICCR, "Workers Still at Risk," 21 April 2016 | 4, 7, 8, 15c</w:t>
      </w:r>
      <w:r w:rsidRPr="00CC2E47">
        <w:rPr>
          <w:sz w:val="20"/>
          <w:szCs w:val="20"/>
        </w:rPr>
        <w:br/>
        <w:t>#9 Salminen, AJCL, August 2018 | 6, 9, 11, 13, 14, 15d</w:t>
      </w:r>
      <w:r w:rsidRPr="00CC2E47">
        <w:rPr>
          <w:sz w:val="20"/>
          <w:szCs w:val="20"/>
        </w:rPr>
        <w:br/>
        <w:t>#10 Accord/BHRRC, 4-Year Anniversary report, 9 May 2017 | 10, 11</w:t>
      </w:r>
    </w:p>
    <w:p w14:paraId="653DD026" w14:textId="77777777" w:rsidR="00CC2E47" w:rsidRPr="00CC2E47" w:rsidRDefault="00CC2E47" w:rsidP="00CC2E47">
      <w:pPr>
        <w:rPr>
          <w:sz w:val="20"/>
          <w:szCs w:val="20"/>
        </w:rPr>
      </w:pPr>
      <w:r w:rsidRPr="00CC2E47">
        <w:rPr>
          <w:sz w:val="20"/>
          <w:szCs w:val="20"/>
        </w:rPr>
        <w:t>OBSERVATION</w:t>
      </w:r>
    </w:p>
    <w:p w14:paraId="0F67283C" w14:textId="77777777" w:rsidR="00CC2E47" w:rsidRPr="00CC2E47" w:rsidRDefault="00CC2E47" w:rsidP="00CC2E47">
      <w:pPr>
        <w:rPr>
          <w:sz w:val="20"/>
          <w:szCs w:val="20"/>
        </w:rPr>
      </w:pPr>
      <w:r w:rsidRPr="00CC2E47">
        <w:rPr>
          <w:sz w:val="20"/>
          <w:szCs w:val="20"/>
        </w:rPr>
        <w:t>Evidence is well-distributed across the source set. Source #1 (the primary agreement text) anchors the most entries, as expected for a foundational document, but no single secondary source dominates. Sources #6 and #7 (Walmart/Gap contestation documents) contribute distinctly to the opposition and narrative variables; Source #8 (investor coalition) and Source #9 (Salminen academic legal analysis) each add non-redundant evidence across different variable clusters. Source #5 contributes narrowly (coalition and speed only) but is retained as direct contemporaneous corroboration of the signing cascade. The Phase 1 exception for Variable 12 is the only instance of pre-campaign sourcing in the coding and is appropriately limited to baseline sentiment characterisation.</w:t>
      </w:r>
    </w:p>
    <w:p w14:paraId="4482900E" w14:textId="77777777" w:rsidR="00CC2E47" w:rsidRPr="00CC2E47" w:rsidRDefault="00CC2E47" w:rsidP="00CC2E47">
      <w:pPr>
        <w:rPr>
          <w:sz w:val="20"/>
          <w:szCs w:val="20"/>
        </w:rPr>
      </w:pPr>
      <w:r w:rsidRPr="00CC2E47">
        <w:rPr>
          <w:sz w:val="20"/>
          <w:szCs w:val="20"/>
        </w:rPr>
        <w:t>CASE-LEVEL SUMMARY</w:t>
      </w:r>
    </w:p>
    <w:p w14:paraId="5FDD4FE3" w14:textId="77777777" w:rsidR="00CC2E47" w:rsidRPr="00CC2E47" w:rsidRDefault="00CC2E47" w:rsidP="00CC2E47">
      <w:pPr>
        <w:rPr>
          <w:sz w:val="20"/>
          <w:szCs w:val="20"/>
        </w:rPr>
      </w:pPr>
      <w:r w:rsidRPr="00CC2E47">
        <w:rPr>
          <w:sz w:val="20"/>
          <w:szCs w:val="20"/>
        </w:rPr>
        <w:t>Medium confidence:</w:t>
      </w:r>
    </w:p>
    <w:p w14:paraId="484E9965" w14:textId="77777777" w:rsidR="00CC2E47" w:rsidRPr="00CC2E47" w:rsidRDefault="00CC2E47" w:rsidP="00CC2E47">
      <w:pPr>
        <w:numPr>
          <w:ilvl w:val="0"/>
          <w:numId w:val="58"/>
        </w:numPr>
        <w:rPr>
          <w:sz w:val="20"/>
          <w:szCs w:val="20"/>
        </w:rPr>
      </w:pPr>
      <w:r w:rsidRPr="00CC2E47">
        <w:rPr>
          <w:sz w:val="20"/>
          <w:szCs w:val="20"/>
        </w:rPr>
        <w:t>#12 Public sentiment starting point — Phase 1 exception declared. Nielsen 2014 data (Source #2) was collected post-collapse (February–March 2014), making it an imperfect pre-campaign proxy. Shaw et al. (Source #3) is pre-campaign but UK-focused and fair trade framed rather than Bangladesh-specific. Together they establish a plausible baseline but not a direct measurement.</w:t>
      </w:r>
    </w:p>
    <w:p w14:paraId="0A5FA10B" w14:textId="77777777" w:rsidR="00CC2E47" w:rsidRPr="00CC2E47" w:rsidRDefault="00CC2E47" w:rsidP="00CC2E47">
      <w:pPr>
        <w:numPr>
          <w:ilvl w:val="0"/>
          <w:numId w:val="58"/>
        </w:numPr>
        <w:rPr>
          <w:sz w:val="20"/>
          <w:szCs w:val="20"/>
        </w:rPr>
      </w:pPr>
      <w:r w:rsidRPr="00CC2E47">
        <w:rPr>
          <w:sz w:val="20"/>
          <w:szCs w:val="20"/>
        </w:rPr>
        <w:t>#14 Narrative dominance — strong evidence for framing dominance within advocacy and academic discourse by 2018; less direct evidence on how this shifted broader public sentiment specifically, as distinct from institutional discourse.</w:t>
      </w:r>
    </w:p>
    <w:p w14:paraId="11B1E550" w14:textId="77777777" w:rsidR="00CC2E47" w:rsidRPr="00CC2E47" w:rsidRDefault="00CC2E47" w:rsidP="00CC2E47">
      <w:pPr>
        <w:rPr>
          <w:sz w:val="20"/>
          <w:szCs w:val="20"/>
        </w:rPr>
      </w:pPr>
      <w:r w:rsidRPr="00CC2E47">
        <w:rPr>
          <w:sz w:val="20"/>
          <w:szCs w:val="20"/>
        </w:rPr>
        <w:t>Phase 1 exception use: Variable 12 only. Sources #2 (Nielsen) and #3 (Shaw et al.) are Phase 1 sources used solely to characterise the pre-campaign public sentiment baseline.</w:t>
      </w:r>
    </w:p>
    <w:p w14:paraId="318A2D3B" w14:textId="77777777" w:rsidR="00CC2E47" w:rsidRPr="00CC2E47" w:rsidRDefault="00CC2E47" w:rsidP="00CC2E47">
      <w:pPr>
        <w:rPr>
          <w:sz w:val="20"/>
          <w:szCs w:val="20"/>
        </w:rPr>
      </w:pPr>
      <w:r w:rsidRPr="00CC2E47">
        <w:rPr>
          <w:sz w:val="20"/>
          <w:szCs w:val="20"/>
        </w:rPr>
        <w:t>OVERALL CASE CONFIDENCE/QUALITY FLAG</w:t>
      </w:r>
    </w:p>
    <w:p w14:paraId="1CF5FC30" w14:textId="77777777" w:rsidR="00CC2E47" w:rsidRPr="00CC2E47" w:rsidRDefault="00CC2E47" w:rsidP="00CC2E47">
      <w:pPr>
        <w:rPr>
          <w:sz w:val="20"/>
          <w:szCs w:val="20"/>
        </w:rPr>
      </w:pPr>
      <w:r w:rsidRPr="00CC2E47">
        <w:rPr>
          <w:sz w:val="20"/>
          <w:szCs w:val="20"/>
        </w:rPr>
        <w:t xml:space="preserve">High. Fourteen of 15 variables are coded at High or Medium confidence; no variable reaches Insufficient. Source diversity spans the primary legal text, global trade unions, an NGO petition coalition, a US labour federation, a faith-based investor coalition, and peer-reviewed academic legal analysis — covering four distinct source categories. The case resolved into a documented successor agreement, providing clean outcome documentation for Variables 10 and 11. The only structural </w:t>
      </w:r>
      <w:r w:rsidRPr="00CC2E47">
        <w:rPr>
          <w:sz w:val="20"/>
          <w:szCs w:val="20"/>
        </w:rPr>
        <w:lastRenderedPageBreak/>
        <w:t>limitation is Variable 12, where available sources provide a proxy rather than a direct pre-campaign measurement of Bangladesh-specific public sentiment.</w:t>
      </w:r>
    </w:p>
    <w:p w14:paraId="451C8864" w14:textId="77777777" w:rsidR="00CC2E47" w:rsidRPr="00CC2E47" w:rsidRDefault="00CC2E47" w:rsidP="00CC2E47">
      <w:pPr>
        <w:rPr>
          <w:sz w:val="20"/>
          <w:szCs w:val="20"/>
        </w:rPr>
      </w:pPr>
      <w:r w:rsidRPr="00CC2E47">
        <w:rPr>
          <w:sz w:val="20"/>
          <w:szCs w:val="20"/>
        </w:rPr>
        <w:t>HINDSIGHT NOTES</w:t>
      </w:r>
    </w:p>
    <w:p w14:paraId="72A938D8" w14:textId="77777777" w:rsidR="00CC2E47" w:rsidRPr="00CC2E47" w:rsidRDefault="00CC2E47" w:rsidP="00CC2E47">
      <w:pPr>
        <w:numPr>
          <w:ilvl w:val="0"/>
          <w:numId w:val="59"/>
        </w:numPr>
        <w:rPr>
          <w:sz w:val="20"/>
          <w:szCs w:val="20"/>
        </w:rPr>
      </w:pPr>
      <w:r w:rsidRPr="00CC2E47">
        <w:rPr>
          <w:sz w:val="20"/>
          <w:szCs w:val="20"/>
        </w:rPr>
        <w:t>Hindsight note: Scale of change (#11) — post-2018 developments (the 2018 Transition Accord, the 2021 International Accord expanding to Pakistan and other countries, and the 2019 Bangladesh Supreme Court challenge to the Accord's continued operation) would likely shift this toward an even broader but also more institutionally contested picture. Not used in coding above as these fall outside the locked 2013–2018 window.</w:t>
      </w:r>
    </w:p>
    <w:p w14:paraId="60F6B279" w14:textId="77777777" w:rsidR="00CC2E47" w:rsidRPr="00CC2E47" w:rsidRDefault="00CC2E47" w:rsidP="00CC2E47">
      <w:pPr>
        <w:numPr>
          <w:ilvl w:val="0"/>
          <w:numId w:val="59"/>
        </w:numPr>
        <w:rPr>
          <w:sz w:val="20"/>
          <w:szCs w:val="20"/>
        </w:rPr>
      </w:pPr>
      <w:r w:rsidRPr="00CC2E47">
        <w:rPr>
          <w:sz w:val="20"/>
          <w:szCs w:val="20"/>
        </w:rPr>
        <w:t>Hindsight note: Strength of opposition (#3) — the 2019 Bangladeshi government and court challenge to the Accord's operating authority, and factory-owner resentment documented in later academic literature (e.g. Jonathan Rose 2021, Category B), suggest opposition strength may have been understated by relying only on the Walmart/Gap episode. Not used in coding above.</w:t>
      </w:r>
    </w:p>
    <w:p w14:paraId="7329BD78" w14:textId="77777777" w:rsidR="00CC2E47" w:rsidRPr="00CC2E47" w:rsidRDefault="00CC2E47" w:rsidP="00CC2E47">
      <w:pPr>
        <w:numPr>
          <w:ilvl w:val="0"/>
          <w:numId w:val="59"/>
        </w:numPr>
        <w:rPr>
          <w:sz w:val="20"/>
          <w:szCs w:val="20"/>
        </w:rPr>
      </w:pPr>
      <w:r w:rsidRPr="00CC2E47">
        <w:rPr>
          <w:sz w:val="20"/>
          <w:szCs w:val="20"/>
        </w:rPr>
        <w:t>Hindsight note: Public sentiment starting point (#12) — the unavailability of a direct pre-April 2013 Bangladesh-specific public sentiment measure is a structural gap not resolvable by later evidence. The Nielsen 2014 and Shaw 2006 sources remain the best available proxy for baseline orientation.</w:t>
      </w:r>
    </w:p>
    <w:p w14:paraId="5429F335" w14:textId="77777777" w:rsidR="00CC2E47" w:rsidRPr="00CC2E47" w:rsidRDefault="00CC2E47" w:rsidP="00CC2E47">
      <w:pPr>
        <w:rPr>
          <w:sz w:val="20"/>
          <w:szCs w:val="20"/>
        </w:rPr>
      </w:pPr>
    </w:p>
    <w:p w14:paraId="3C82D451" w14:textId="1C5DC3B7" w:rsidR="002368B4" w:rsidRPr="002368B4" w:rsidRDefault="002368B4" w:rsidP="002368B4">
      <w:pPr>
        <w:pStyle w:val="Heading1"/>
        <w:rPr>
          <w:b/>
          <w:bCs/>
        </w:rPr>
      </w:pPr>
      <w:r w:rsidRPr="002368B4">
        <w:t>CASE</w:t>
      </w:r>
      <w:r w:rsidR="007A652C">
        <w:t xml:space="preserve"> 1</w:t>
      </w:r>
      <w:r w:rsidR="00DB58B4">
        <w:t>4</w:t>
      </w:r>
      <w:r w:rsidRPr="002368B4">
        <w:t>: Black Lives Matter/Policing Reform</w:t>
      </w:r>
    </w:p>
    <w:p w14:paraId="0217FAE6" w14:textId="77777777" w:rsidR="002368B4" w:rsidRPr="00A21FF6" w:rsidRDefault="002368B4" w:rsidP="002368B4">
      <w:pPr>
        <w:rPr>
          <w:sz w:val="20"/>
          <w:szCs w:val="20"/>
        </w:rPr>
      </w:pPr>
      <w:r w:rsidRPr="00A21FF6">
        <w:rPr>
          <w:sz w:val="20"/>
          <w:szCs w:val="20"/>
        </w:rPr>
        <w:t>Window: May 25, 2020 → present (Mixed/Unresolved rule applies throughout)</w:t>
      </w:r>
    </w:p>
    <w:p w14:paraId="752BF305" w14:textId="77777777" w:rsidR="006429CB" w:rsidRPr="00A21FF6" w:rsidRDefault="006429CB" w:rsidP="006429CB">
      <w:pPr>
        <w:rPr>
          <w:b/>
          <w:bCs/>
          <w:sz w:val="20"/>
          <w:szCs w:val="20"/>
        </w:rPr>
      </w:pPr>
      <w:r w:rsidRPr="00A21FF6">
        <w:rPr>
          <w:b/>
          <w:bCs/>
          <w:sz w:val="20"/>
          <w:szCs w:val="20"/>
        </w:rPr>
        <w:t>LIST B — EVIDENCE / CONFIDENCE / SOURCE TAG</w:t>
      </w:r>
    </w:p>
    <w:p w14:paraId="32170838" w14:textId="77777777" w:rsidR="006429CB" w:rsidRPr="00A21FF6" w:rsidRDefault="006429CB" w:rsidP="00043AF9">
      <w:pPr>
        <w:numPr>
          <w:ilvl w:val="0"/>
          <w:numId w:val="7"/>
        </w:numPr>
        <w:rPr>
          <w:sz w:val="20"/>
          <w:szCs w:val="20"/>
        </w:rPr>
      </w:pPr>
      <w:r w:rsidRPr="00A21FF6">
        <w:rPr>
          <w:b/>
          <w:bCs/>
          <w:sz w:val="20"/>
          <w:szCs w:val="20"/>
        </w:rPr>
        <w:t>Target type</w:t>
      </w:r>
      <w:r w:rsidRPr="00A21FF6">
        <w:rPr>
          <w:b/>
          <w:bCs/>
          <w:sz w:val="20"/>
          <w:szCs w:val="20"/>
        </w:rPr>
        <w:br/>
      </w:r>
      <w:r w:rsidRPr="00A21FF6">
        <w:rPr>
          <w:sz w:val="20"/>
          <w:szCs w:val="20"/>
        </w:rPr>
        <w:t xml:space="preserve"> Evidence: #1 documents immediate local target engagement (MPD firings, city council votes, union contract withdrawal); #9 documents the broader pattern of state/local government as the primary site of actual policy change, with #2's federal BREATHE Act representing the secondary, less successful target.</w:t>
      </w:r>
      <w:r w:rsidRPr="00A21FF6">
        <w:rPr>
          <w:sz w:val="20"/>
          <w:szCs w:val="20"/>
        </w:rPr>
        <w:br/>
        <w:t xml:space="preserve"> Confidence: High — directly and extensively evidenced across multiple sources.</w:t>
      </w:r>
      <w:r w:rsidRPr="00A21FF6">
        <w:rPr>
          <w:sz w:val="20"/>
          <w:szCs w:val="20"/>
        </w:rPr>
        <w:br/>
        <w:t xml:space="preserve"> Source Tag: #1, #9, #2.</w:t>
      </w:r>
    </w:p>
    <w:p w14:paraId="38A31A7F" w14:textId="77777777" w:rsidR="006429CB" w:rsidRPr="00A21FF6" w:rsidRDefault="006429CB" w:rsidP="00043AF9">
      <w:pPr>
        <w:numPr>
          <w:ilvl w:val="0"/>
          <w:numId w:val="7"/>
        </w:numPr>
        <w:rPr>
          <w:sz w:val="20"/>
          <w:szCs w:val="20"/>
        </w:rPr>
      </w:pPr>
      <w:r w:rsidRPr="00A21FF6">
        <w:rPr>
          <w:b/>
          <w:bCs/>
          <w:sz w:val="20"/>
          <w:szCs w:val="20"/>
        </w:rPr>
        <w:t>Concentration of decision-making power</w:t>
      </w:r>
      <w:r w:rsidRPr="00A21FF6">
        <w:rPr>
          <w:b/>
          <w:bCs/>
          <w:sz w:val="20"/>
          <w:szCs w:val="20"/>
        </w:rPr>
        <w:br/>
      </w:r>
      <w:r w:rsidRPr="00A21FF6">
        <w:rPr>
          <w:sz w:val="20"/>
          <w:szCs w:val="20"/>
        </w:rPr>
        <w:t xml:space="preserve"> Evidence: #9 documents reform activity occurring at the state legislative level across dozens of separate state houses, while #1 documents city-council-level decisions in Minneapolis specifically — a genuinely diffuse, multi-jurisdiction decision landscape.</w:t>
      </w:r>
      <w:r w:rsidRPr="00A21FF6">
        <w:rPr>
          <w:sz w:val="20"/>
          <w:szCs w:val="20"/>
        </w:rPr>
        <w:br/>
        <w:t xml:space="preserve"> Confidence: High — directly evidenced by the sheer breadth of independent jurisdictions acting separately.</w:t>
      </w:r>
      <w:r w:rsidRPr="00A21FF6">
        <w:rPr>
          <w:sz w:val="20"/>
          <w:szCs w:val="20"/>
        </w:rPr>
        <w:br/>
        <w:t xml:space="preserve"> Source Tag: #9, #1.</w:t>
      </w:r>
    </w:p>
    <w:p w14:paraId="643C3EEB" w14:textId="77777777" w:rsidR="006429CB" w:rsidRPr="00A21FF6" w:rsidRDefault="006429CB" w:rsidP="00043AF9">
      <w:pPr>
        <w:numPr>
          <w:ilvl w:val="0"/>
          <w:numId w:val="7"/>
        </w:numPr>
        <w:rPr>
          <w:sz w:val="20"/>
          <w:szCs w:val="20"/>
        </w:rPr>
      </w:pPr>
      <w:r w:rsidRPr="00A21FF6">
        <w:rPr>
          <w:b/>
          <w:bCs/>
          <w:sz w:val="20"/>
          <w:szCs w:val="20"/>
        </w:rPr>
        <w:t>Strength of opposition</w:t>
      </w:r>
      <w:r w:rsidRPr="00A21FF6">
        <w:rPr>
          <w:b/>
          <w:bCs/>
          <w:sz w:val="20"/>
          <w:szCs w:val="20"/>
        </w:rPr>
        <w:br/>
      </w:r>
      <w:r w:rsidRPr="00A21FF6">
        <w:rPr>
          <w:sz w:val="20"/>
          <w:szCs w:val="20"/>
        </w:rPr>
        <w:t xml:space="preserve"> Evidence: #5 and #6 directly document the National Fraternal Order of Police as a long-established, well-resourced national organisation with direct electoral endorsement power, explicitly claiming credit for political outcomes.</w:t>
      </w:r>
      <w:r w:rsidRPr="00A21FF6">
        <w:rPr>
          <w:sz w:val="20"/>
          <w:szCs w:val="20"/>
        </w:rPr>
        <w:br/>
        <w:t xml:space="preserve"> Confidence: High — directly and explicitly evidenced by the opposition actor's own statements.</w:t>
      </w:r>
      <w:r w:rsidRPr="00A21FF6">
        <w:rPr>
          <w:sz w:val="20"/>
          <w:szCs w:val="20"/>
        </w:rPr>
        <w:br/>
        <w:t xml:space="preserve"> Source Tag: #5, #6.</w:t>
      </w:r>
    </w:p>
    <w:p w14:paraId="7646B3D4" w14:textId="77777777" w:rsidR="006429CB" w:rsidRPr="00A21FF6" w:rsidRDefault="006429CB" w:rsidP="00043AF9">
      <w:pPr>
        <w:numPr>
          <w:ilvl w:val="0"/>
          <w:numId w:val="7"/>
        </w:numPr>
        <w:rPr>
          <w:sz w:val="20"/>
          <w:szCs w:val="20"/>
        </w:rPr>
      </w:pPr>
      <w:r w:rsidRPr="00A21FF6">
        <w:rPr>
          <w:b/>
          <w:bCs/>
          <w:sz w:val="20"/>
          <w:szCs w:val="20"/>
        </w:rPr>
        <w:t>Type of opposition</w:t>
      </w:r>
      <w:r w:rsidRPr="00A21FF6">
        <w:rPr>
          <w:b/>
          <w:bCs/>
          <w:sz w:val="20"/>
          <w:szCs w:val="20"/>
        </w:rPr>
        <w:br/>
      </w:r>
      <w:r w:rsidRPr="00A21FF6">
        <w:rPr>
          <w:sz w:val="20"/>
          <w:szCs w:val="20"/>
        </w:rPr>
        <w:t xml:space="preserve"> Evidence: #6 documents direct electoral mobilisation (presidential endorsement) and reframing-as-attack ("defunder" framing); #1 documents an internal-institutional friction example (police chief withdrawing from union contract negotiations, "blindsiding" the union) showing opposition dynamics existed even within law enforcement's own institutional relationships.</w:t>
      </w:r>
      <w:r w:rsidRPr="00A21FF6">
        <w:rPr>
          <w:sz w:val="20"/>
          <w:szCs w:val="20"/>
        </w:rPr>
        <w:br/>
        <w:t xml:space="preserve"> Confidence: High — multiple distinct opposition types directly evidenced.</w:t>
      </w:r>
      <w:r w:rsidRPr="00A21FF6">
        <w:rPr>
          <w:sz w:val="20"/>
          <w:szCs w:val="20"/>
        </w:rPr>
        <w:br/>
        <w:t xml:space="preserve"> Source Tag: #6, #5, #1.</w:t>
      </w:r>
    </w:p>
    <w:p w14:paraId="116DD2E4" w14:textId="77777777" w:rsidR="006429CB" w:rsidRPr="00A21FF6" w:rsidRDefault="006429CB" w:rsidP="00043AF9">
      <w:pPr>
        <w:numPr>
          <w:ilvl w:val="0"/>
          <w:numId w:val="7"/>
        </w:numPr>
        <w:rPr>
          <w:sz w:val="20"/>
          <w:szCs w:val="20"/>
        </w:rPr>
      </w:pPr>
      <w:r w:rsidRPr="00A21FF6">
        <w:rPr>
          <w:b/>
          <w:bCs/>
          <w:sz w:val="20"/>
          <w:szCs w:val="20"/>
        </w:rPr>
        <w:t>Visibility of harm to the public</w:t>
      </w:r>
      <w:r w:rsidRPr="00A21FF6">
        <w:rPr>
          <w:b/>
          <w:bCs/>
          <w:sz w:val="20"/>
          <w:szCs w:val="20"/>
        </w:rPr>
        <w:br/>
      </w:r>
      <w:r w:rsidRPr="00A21FF6">
        <w:rPr>
          <w:sz w:val="20"/>
          <w:szCs w:val="20"/>
        </w:rPr>
        <w:t xml:space="preserve"> Evidence: #1 documents the video going viral within hours and prompting immediate, multi-city protest the </w:t>
      </w:r>
      <w:r w:rsidRPr="00A21FF6">
        <w:rPr>
          <w:sz w:val="20"/>
          <w:szCs w:val="20"/>
        </w:rPr>
        <w:lastRenderedPageBreak/>
        <w:t>following day — among the fastest visibility-to-mobilisation timelines of any case in this set.</w:t>
      </w:r>
      <w:r w:rsidRPr="00A21FF6">
        <w:rPr>
          <w:sz w:val="20"/>
          <w:szCs w:val="20"/>
        </w:rPr>
        <w:br/>
        <w:t xml:space="preserve"> Confidence: High — directly and precisely dated.</w:t>
      </w:r>
      <w:r w:rsidRPr="00A21FF6">
        <w:rPr>
          <w:sz w:val="20"/>
          <w:szCs w:val="20"/>
        </w:rPr>
        <w:br/>
        <w:t xml:space="preserve"> Source Tag: #1.</w:t>
      </w:r>
    </w:p>
    <w:p w14:paraId="3D402682" w14:textId="77777777" w:rsidR="006429CB" w:rsidRPr="00A21FF6" w:rsidRDefault="006429CB" w:rsidP="00043AF9">
      <w:pPr>
        <w:numPr>
          <w:ilvl w:val="0"/>
          <w:numId w:val="7"/>
        </w:numPr>
        <w:rPr>
          <w:sz w:val="20"/>
          <w:szCs w:val="20"/>
        </w:rPr>
      </w:pPr>
      <w:r w:rsidRPr="00A21FF6">
        <w:rPr>
          <w:b/>
          <w:bCs/>
          <w:sz w:val="20"/>
          <w:szCs w:val="20"/>
        </w:rPr>
        <w:t>Degree of behaviour change required</w:t>
      </w:r>
      <w:r w:rsidRPr="00A21FF6">
        <w:rPr>
          <w:b/>
          <w:bCs/>
          <w:sz w:val="20"/>
          <w:szCs w:val="20"/>
        </w:rPr>
        <w:br/>
      </w:r>
      <w:r w:rsidRPr="00A21FF6">
        <w:rPr>
          <w:sz w:val="20"/>
          <w:szCs w:val="20"/>
        </w:rPr>
        <w:t xml:space="preserve"> Evidence: #1 documents asks ranging from a specific practice ban (chokeholds, June 5) to full institutional dismantlement (the June 7 pledge); #2 documents the BREATHE Act's far more sweeping divest/reinvest framework.</w:t>
      </w:r>
      <w:r w:rsidRPr="00A21FF6">
        <w:rPr>
          <w:sz w:val="20"/>
          <w:szCs w:val="20"/>
        </w:rPr>
        <w:br/>
        <w:t xml:space="preserve"> Confidence: High — directly evidenced across the full range from narrow to maximal asks.</w:t>
      </w:r>
      <w:r w:rsidRPr="00A21FF6">
        <w:rPr>
          <w:sz w:val="20"/>
          <w:szCs w:val="20"/>
        </w:rPr>
        <w:br/>
        <w:t xml:space="preserve"> Source Tag: #1, #2.</w:t>
      </w:r>
    </w:p>
    <w:p w14:paraId="61120D1C" w14:textId="77777777" w:rsidR="006429CB" w:rsidRPr="00A21FF6" w:rsidRDefault="006429CB" w:rsidP="00043AF9">
      <w:pPr>
        <w:numPr>
          <w:ilvl w:val="0"/>
          <w:numId w:val="7"/>
        </w:numPr>
        <w:rPr>
          <w:sz w:val="20"/>
          <w:szCs w:val="20"/>
        </w:rPr>
      </w:pPr>
      <w:r w:rsidRPr="00A21FF6">
        <w:rPr>
          <w:b/>
          <w:bCs/>
          <w:sz w:val="20"/>
          <w:szCs w:val="20"/>
        </w:rPr>
        <w:t>Role of policy vs market vs cultural shift</w:t>
      </w:r>
      <w:r w:rsidRPr="00A21FF6">
        <w:rPr>
          <w:b/>
          <w:bCs/>
          <w:sz w:val="20"/>
          <w:szCs w:val="20"/>
        </w:rPr>
        <w:br/>
      </w:r>
      <w:r w:rsidRPr="00A21FF6">
        <w:rPr>
          <w:sz w:val="20"/>
          <w:szCs w:val="20"/>
        </w:rPr>
        <w:t xml:space="preserve"> Evidence: #9 documents the policy mechanism in detail (state legislative reform); #3 and #2 document the BREATHE Act's explicit cultural-reframing language ("divest/invest" paradigm) alongside its legislative form.</w:t>
      </w:r>
      <w:r w:rsidRPr="00A21FF6">
        <w:rPr>
          <w:sz w:val="20"/>
          <w:szCs w:val="20"/>
        </w:rPr>
        <w:br/>
        <w:t xml:space="preserve"> Confidence: High — both mechanisms and their interplay are directly evidenced.</w:t>
      </w:r>
      <w:r w:rsidRPr="00A21FF6">
        <w:rPr>
          <w:sz w:val="20"/>
          <w:szCs w:val="20"/>
        </w:rPr>
        <w:br/>
        <w:t xml:space="preserve"> Source Tag: #9, #2, #3.</w:t>
      </w:r>
    </w:p>
    <w:p w14:paraId="0C8DDABE" w14:textId="77777777" w:rsidR="006429CB" w:rsidRPr="00A21FF6" w:rsidRDefault="006429CB" w:rsidP="00043AF9">
      <w:pPr>
        <w:numPr>
          <w:ilvl w:val="0"/>
          <w:numId w:val="7"/>
        </w:numPr>
        <w:rPr>
          <w:sz w:val="20"/>
          <w:szCs w:val="20"/>
        </w:rPr>
      </w:pPr>
      <w:r w:rsidRPr="00A21FF6">
        <w:rPr>
          <w:b/>
          <w:bCs/>
          <w:sz w:val="20"/>
          <w:szCs w:val="20"/>
        </w:rPr>
        <w:t>Coalition size/type/non-obvious allies</w:t>
      </w:r>
      <w:r w:rsidRPr="00A21FF6">
        <w:rPr>
          <w:b/>
          <w:bCs/>
          <w:sz w:val="20"/>
          <w:szCs w:val="20"/>
        </w:rPr>
        <w:br/>
      </w:r>
      <w:r w:rsidRPr="00A21FF6">
        <w:rPr>
          <w:sz w:val="20"/>
          <w:szCs w:val="20"/>
        </w:rPr>
        <w:t xml:space="preserve"> Evidence: #3 documents the BREATHE Act's 150+ organisation coalition; #1 documents non-obvious institutional allies (school board, parks board, an art museum) independently severing police ties; #4 documents later coalition fragility, specifically inter-chapter disputes over BLMGNF leadership legitimacy.</w:t>
      </w:r>
      <w:r w:rsidRPr="00A21FF6">
        <w:rPr>
          <w:sz w:val="20"/>
          <w:szCs w:val="20"/>
        </w:rPr>
        <w:br/>
        <w:t xml:space="preserve"> Confidence: High — coalition breadth and its later fragmentation are both directly and specifically evidenced.</w:t>
      </w:r>
      <w:r w:rsidRPr="00A21FF6">
        <w:rPr>
          <w:sz w:val="20"/>
          <w:szCs w:val="20"/>
        </w:rPr>
        <w:br/>
        <w:t xml:space="preserve"> Source Tag: #3, #1, #4.</w:t>
      </w:r>
    </w:p>
    <w:p w14:paraId="390D7042" w14:textId="77777777" w:rsidR="006429CB" w:rsidRPr="00A21FF6" w:rsidRDefault="006429CB" w:rsidP="00043AF9">
      <w:pPr>
        <w:numPr>
          <w:ilvl w:val="0"/>
          <w:numId w:val="7"/>
        </w:numPr>
        <w:rPr>
          <w:sz w:val="20"/>
          <w:szCs w:val="20"/>
        </w:rPr>
      </w:pPr>
      <w:r w:rsidRPr="00A21FF6">
        <w:rPr>
          <w:b/>
          <w:bCs/>
          <w:sz w:val="20"/>
          <w:szCs w:val="20"/>
        </w:rPr>
        <w:t>Economic disruption required</w:t>
      </w:r>
      <w:r w:rsidRPr="00A21FF6">
        <w:rPr>
          <w:b/>
          <w:bCs/>
          <w:sz w:val="20"/>
          <w:szCs w:val="20"/>
        </w:rPr>
        <w:br/>
      </w:r>
      <w:r w:rsidRPr="00A21FF6">
        <w:rPr>
          <w:sz w:val="20"/>
          <w:szCs w:val="20"/>
        </w:rPr>
        <w:t xml:space="preserve"> Evidence: #8 documents the Minneapolis "defund" debate as a genuine municipal-budget and union-contract renegotiation fight, not a symbolic gesture; #7 documents this playing out nationally with measurable budget effects.</w:t>
      </w:r>
      <w:r w:rsidRPr="00A21FF6">
        <w:rPr>
          <w:sz w:val="20"/>
          <w:szCs w:val="20"/>
        </w:rPr>
        <w:br/>
        <w:t xml:space="preserve"> Confidence: High — directly evidenced at both local and national-aggregate levels.</w:t>
      </w:r>
      <w:r w:rsidRPr="00A21FF6">
        <w:rPr>
          <w:sz w:val="20"/>
          <w:szCs w:val="20"/>
        </w:rPr>
        <w:br/>
        <w:t xml:space="preserve"> Source Tag: #8, #7.</w:t>
      </w:r>
    </w:p>
    <w:p w14:paraId="53986785" w14:textId="77777777" w:rsidR="006429CB" w:rsidRPr="00A21FF6" w:rsidRDefault="006429CB" w:rsidP="00043AF9">
      <w:pPr>
        <w:numPr>
          <w:ilvl w:val="0"/>
          <w:numId w:val="7"/>
        </w:numPr>
        <w:rPr>
          <w:sz w:val="20"/>
          <w:szCs w:val="20"/>
        </w:rPr>
      </w:pPr>
      <w:r w:rsidRPr="00A21FF6">
        <w:rPr>
          <w:b/>
          <w:bCs/>
          <w:sz w:val="20"/>
          <w:szCs w:val="20"/>
        </w:rPr>
        <w:t>Speed of change achieved</w:t>
      </w:r>
      <w:r w:rsidRPr="00A21FF6">
        <w:rPr>
          <w:b/>
          <w:bCs/>
          <w:sz w:val="20"/>
          <w:szCs w:val="20"/>
        </w:rPr>
        <w:br/>
      </w:r>
      <w:r w:rsidRPr="00A21FF6">
        <w:rPr>
          <w:sz w:val="20"/>
          <w:szCs w:val="20"/>
        </w:rPr>
        <w:t xml:space="preserve"> Evidence: #1 documents the Minneapolis chokehold ban passing unanimously just 11 days after Floyd's death; by contrast, #9 documents the federal GFJPA stalling entirely, and #8 documents the Minneapolis ballot measure failing 17 months later.</w:t>
      </w:r>
      <w:r w:rsidRPr="00A21FF6">
        <w:rPr>
          <w:sz w:val="20"/>
          <w:szCs w:val="20"/>
        </w:rPr>
        <w:br/>
        <w:t xml:space="preserve"> Confidence: High — precisely dated fast and slow examples directly evidenced within the same case.</w:t>
      </w:r>
      <w:r w:rsidRPr="00A21FF6">
        <w:rPr>
          <w:sz w:val="20"/>
          <w:szCs w:val="20"/>
        </w:rPr>
        <w:br/>
        <w:t xml:space="preserve"> Source Tag: #1, #9, #8.</w:t>
      </w:r>
    </w:p>
    <w:p w14:paraId="18C84777" w14:textId="77777777" w:rsidR="006429CB" w:rsidRPr="00A21FF6" w:rsidRDefault="006429CB" w:rsidP="00043AF9">
      <w:pPr>
        <w:numPr>
          <w:ilvl w:val="0"/>
          <w:numId w:val="7"/>
        </w:numPr>
        <w:rPr>
          <w:sz w:val="20"/>
          <w:szCs w:val="20"/>
        </w:rPr>
      </w:pPr>
      <w:r w:rsidRPr="00A21FF6">
        <w:rPr>
          <w:b/>
          <w:bCs/>
          <w:sz w:val="20"/>
          <w:szCs w:val="20"/>
        </w:rPr>
        <w:t>Scale of change achieved</w:t>
      </w:r>
      <w:r w:rsidRPr="00A21FF6">
        <w:rPr>
          <w:b/>
          <w:bCs/>
          <w:sz w:val="20"/>
          <w:szCs w:val="20"/>
        </w:rPr>
        <w:br/>
      </w:r>
      <w:r w:rsidRPr="00A21FF6">
        <w:rPr>
          <w:sz w:val="20"/>
          <w:szCs w:val="20"/>
        </w:rPr>
        <w:t xml:space="preserve"> Evidence: #9 documents reform activity across most US states in the year following Floyd's death; #7 documents that, despite this breadth, no net national defunding occurred and some Republican-leaning cities saw budget increases instead; #8 documents the flagship origin city's own structural-reform ballot measure failing.</w:t>
      </w:r>
      <w:r w:rsidRPr="00A21FF6">
        <w:rPr>
          <w:sz w:val="20"/>
          <w:szCs w:val="20"/>
        </w:rPr>
        <w:br/>
        <w:t xml:space="preserve"> Confidence: High — breadth, partiality, and a specific symbolic reversal are all directly evidenced.</w:t>
      </w:r>
      <w:r w:rsidRPr="00A21FF6">
        <w:rPr>
          <w:sz w:val="20"/>
          <w:szCs w:val="20"/>
        </w:rPr>
        <w:br/>
        <w:t xml:space="preserve"> Source Tag: #9, #7, #8.</w:t>
      </w:r>
    </w:p>
    <w:p w14:paraId="6D9056B6" w14:textId="77777777" w:rsidR="00DE1A21" w:rsidRDefault="006429CB" w:rsidP="00043AF9">
      <w:pPr>
        <w:numPr>
          <w:ilvl w:val="0"/>
          <w:numId w:val="7"/>
        </w:numPr>
        <w:rPr>
          <w:sz w:val="20"/>
          <w:szCs w:val="20"/>
        </w:rPr>
      </w:pPr>
      <w:r w:rsidRPr="00DE1A21">
        <w:rPr>
          <w:b/>
          <w:bCs/>
          <w:sz w:val="20"/>
          <w:szCs w:val="20"/>
        </w:rPr>
        <w:t>Public sentiment starting point</w:t>
      </w:r>
      <w:r w:rsidRPr="00DE1A21">
        <w:rPr>
          <w:b/>
          <w:bCs/>
          <w:sz w:val="20"/>
          <w:szCs w:val="20"/>
        </w:rPr>
        <w:br/>
      </w:r>
      <w:r w:rsidR="00DE1A21" w:rsidRPr="00DE1A21">
        <w:rPr>
          <w:sz w:val="20"/>
          <w:szCs w:val="20"/>
        </w:rPr>
        <w:t>Evidence: Gallup annual Confidence in Institutions data shows overall US confidence in police at 53% in 2019, below the historical average of 57% and part of a sustained downward trend since 2013 when BLM was founded following the Trayvon Martin acquittal — directly pre-campaign. The 2014–2019 period produced a widening racial gap: White confidence held steady at ~60% while Black confidence averaged 30%, a 30-point divergence. Gallup Law and Order Index 2019 records 79% of Americans confident in local police in absolute terms, illustrating that overall confidence remained majority-level even as the racial gap deepened. A Pew Research Center survey conducted in April 2020 — one month before Floyd's death — found 78% of Americans overall, but only 56% of Black Americans, confident in police to act in the public's best interests, directly capturing the pre-campaign baseline. Together these sources establish a starting point of majority but declining and racially polarised confidence, with latent reform sentiment already built up over seven years of BLM activism before the campaign window opened.</w:t>
      </w:r>
      <w:r w:rsidR="00DE1A21" w:rsidRPr="00DE1A21">
        <w:rPr>
          <w:sz w:val="20"/>
          <w:szCs w:val="20"/>
        </w:rPr>
        <w:br/>
      </w:r>
      <w:r w:rsidR="00DE1A21" w:rsidRPr="00DE1A21">
        <w:rPr>
          <w:sz w:val="20"/>
          <w:szCs w:val="20"/>
        </w:rPr>
        <w:lastRenderedPageBreak/>
        <w:t>Confidence: High — multiple independent, precisely dated pre-campaign national surveys from Gallup and Pew converge on a consistent picture; no inference required.</w:t>
      </w:r>
      <w:r w:rsidR="00DE1A21" w:rsidRPr="00DE1A21">
        <w:rPr>
          <w:sz w:val="20"/>
          <w:szCs w:val="20"/>
        </w:rPr>
        <w:br/>
        <w:t>Source Tag: Gallup Confidence in Institutions annual trend 2013–2019; Gallup Law and Order Index 2019; Pew Research Center April 2020.</w:t>
      </w:r>
    </w:p>
    <w:p w14:paraId="482B57A6" w14:textId="111F01AF" w:rsidR="006429CB" w:rsidRPr="00DE1A21" w:rsidRDefault="006429CB" w:rsidP="00043AF9">
      <w:pPr>
        <w:numPr>
          <w:ilvl w:val="0"/>
          <w:numId w:val="7"/>
        </w:numPr>
        <w:rPr>
          <w:sz w:val="20"/>
          <w:szCs w:val="20"/>
        </w:rPr>
      </w:pPr>
      <w:r w:rsidRPr="00DE1A21">
        <w:rPr>
          <w:b/>
          <w:bCs/>
          <w:sz w:val="20"/>
          <w:szCs w:val="20"/>
        </w:rPr>
        <w:t>Legal/regulatory landscape</w:t>
      </w:r>
      <w:r w:rsidRPr="00DE1A21">
        <w:rPr>
          <w:b/>
          <w:bCs/>
          <w:sz w:val="20"/>
          <w:szCs w:val="20"/>
        </w:rPr>
        <w:br/>
      </w:r>
      <w:r w:rsidRPr="00DE1A21">
        <w:rPr>
          <w:sz w:val="20"/>
          <w:szCs w:val="20"/>
        </w:rPr>
        <w:t xml:space="preserve"> Evidence: #9 documents the prior landscape (qualified immunity, weak use-of-force standards) and the specific state-by-state legislative changes made in-window, explicitly noting federal-level change did not occur.</w:t>
      </w:r>
      <w:r w:rsidRPr="00DE1A21">
        <w:rPr>
          <w:sz w:val="20"/>
          <w:szCs w:val="20"/>
        </w:rPr>
        <w:br/>
        <w:t xml:space="preserve"> Confidence: High — directly and specifically documented, including the federal/state split.</w:t>
      </w:r>
      <w:r w:rsidRPr="00DE1A21">
        <w:rPr>
          <w:sz w:val="20"/>
          <w:szCs w:val="20"/>
        </w:rPr>
        <w:br/>
        <w:t xml:space="preserve"> Source Tag: #9.</w:t>
      </w:r>
    </w:p>
    <w:p w14:paraId="41CE6255" w14:textId="77777777" w:rsidR="006429CB" w:rsidRPr="00A21FF6" w:rsidRDefault="006429CB" w:rsidP="00043AF9">
      <w:pPr>
        <w:numPr>
          <w:ilvl w:val="0"/>
          <w:numId w:val="7"/>
        </w:numPr>
        <w:rPr>
          <w:sz w:val="20"/>
          <w:szCs w:val="20"/>
        </w:rPr>
      </w:pPr>
      <w:r w:rsidRPr="00A21FF6">
        <w:rPr>
          <w:b/>
          <w:bCs/>
          <w:sz w:val="20"/>
          <w:szCs w:val="20"/>
        </w:rPr>
        <w:t>Narrative dominance</w:t>
      </w:r>
      <w:r w:rsidRPr="00A21FF6">
        <w:rPr>
          <w:b/>
          <w:bCs/>
          <w:sz w:val="20"/>
          <w:szCs w:val="20"/>
        </w:rPr>
        <w:br/>
      </w:r>
      <w:r w:rsidRPr="00A21FF6">
        <w:rPr>
          <w:sz w:val="20"/>
          <w:szCs w:val="20"/>
        </w:rPr>
        <w:t xml:space="preserve"> Evidence: #1 documents rapid, near-unanimous local institutional adoption of the reform narrative in the weeks after Floyd's death; #6 documents a national police union explicitly claiming, four years later, to have "defeated" that narrative and replaced it with a competing "crime wave" framing tied to electoral politics.</w:t>
      </w:r>
      <w:r w:rsidRPr="00A21FF6">
        <w:rPr>
          <w:sz w:val="20"/>
          <w:szCs w:val="20"/>
        </w:rPr>
        <w:br/>
        <w:t xml:space="preserve"> Confidence: Medium — strong direct evidence at both the initial and the most recent endpoint, but no source in the locked set tracks the narrative's contestation continuously across the full multi-year window.</w:t>
      </w:r>
      <w:r w:rsidRPr="00A21FF6">
        <w:rPr>
          <w:sz w:val="20"/>
          <w:szCs w:val="20"/>
        </w:rPr>
        <w:br/>
        <w:t xml:space="preserve"> Source Tag: #1, #6.</w:t>
      </w:r>
    </w:p>
    <w:p w14:paraId="259F275B" w14:textId="77777777" w:rsidR="006429CB" w:rsidRPr="00A21FF6" w:rsidRDefault="006429CB" w:rsidP="00043AF9">
      <w:pPr>
        <w:numPr>
          <w:ilvl w:val="0"/>
          <w:numId w:val="7"/>
        </w:numPr>
        <w:rPr>
          <w:sz w:val="20"/>
          <w:szCs w:val="20"/>
        </w:rPr>
      </w:pPr>
      <w:r w:rsidRPr="00A21FF6">
        <w:rPr>
          <w:b/>
          <w:bCs/>
          <w:sz w:val="20"/>
          <w:szCs w:val="20"/>
        </w:rPr>
        <w:t>Notable Tactics</w:t>
      </w:r>
      <w:r w:rsidRPr="00A21FF6">
        <w:rPr>
          <w:b/>
          <w:bCs/>
          <w:sz w:val="20"/>
          <w:szCs w:val="20"/>
        </w:rPr>
        <w:br/>
      </w:r>
      <w:r w:rsidRPr="00A21FF6">
        <w:rPr>
          <w:sz w:val="20"/>
          <w:szCs w:val="20"/>
        </w:rPr>
        <w:t xml:space="preserve"> a. Public pledge ceremony.</w:t>
      </w:r>
      <w:r w:rsidRPr="00A21FF6">
        <w:rPr>
          <w:sz w:val="20"/>
          <w:szCs w:val="20"/>
        </w:rPr>
        <w:br/>
        <w:t xml:space="preserve"> Evidence: #1 directly documents nine of thirteen Minneapolis council members publicly pledging at a named public park.</w:t>
      </w:r>
      <w:r w:rsidRPr="00A21FF6">
        <w:rPr>
          <w:sz w:val="20"/>
          <w:szCs w:val="20"/>
        </w:rPr>
        <w:br/>
        <w:t xml:space="preserve"> Confidence: High. Source Tag: #1.</w:t>
      </w:r>
      <w:r w:rsidRPr="00A21FF6">
        <w:rPr>
          <w:sz w:val="20"/>
          <w:szCs w:val="20"/>
        </w:rPr>
        <w:br/>
        <w:t xml:space="preserve"> b. Multi-institution disengagement.</w:t>
      </w:r>
      <w:r w:rsidRPr="00A21FF6">
        <w:rPr>
          <w:sz w:val="20"/>
          <w:szCs w:val="20"/>
        </w:rPr>
        <w:br/>
        <w:t xml:space="preserve"> Evidence: #1 directly names the Minneapolis Public Schools, Park Board, and Walker Art Center as independently severing police ties within the same week.</w:t>
      </w:r>
      <w:r w:rsidRPr="00A21FF6">
        <w:rPr>
          <w:sz w:val="20"/>
          <w:szCs w:val="20"/>
        </w:rPr>
        <w:br/>
        <w:t xml:space="preserve"> Confidence: High. Source Tag: #1.</w:t>
      </w:r>
      <w:r w:rsidRPr="00A21FF6">
        <w:rPr>
          <w:sz w:val="20"/>
          <w:szCs w:val="20"/>
        </w:rPr>
        <w:br/>
        <w:t xml:space="preserve"> c. Joint multi-organisation federal platform.</w:t>
      </w:r>
      <w:r w:rsidRPr="00A21FF6">
        <w:rPr>
          <w:sz w:val="20"/>
          <w:szCs w:val="20"/>
        </w:rPr>
        <w:br/>
        <w:t xml:space="preserve"> Evidence: #3 and #2 both directly document the 150+ organisation joint authorship of the BREATHE Act.</w:t>
      </w:r>
      <w:r w:rsidRPr="00A21FF6">
        <w:rPr>
          <w:sz w:val="20"/>
          <w:szCs w:val="20"/>
        </w:rPr>
        <w:br/>
        <w:t xml:space="preserve"> Confidence: High. Source Tag: #3, #2.</w:t>
      </w:r>
      <w:r w:rsidRPr="00A21FF6">
        <w:rPr>
          <w:sz w:val="20"/>
          <w:szCs w:val="20"/>
        </w:rPr>
        <w:br/>
        <w:t xml:space="preserve"> d. Citizen ballot-initiative route.</w:t>
      </w:r>
      <w:r w:rsidRPr="00A21FF6">
        <w:rPr>
          <w:sz w:val="20"/>
          <w:szCs w:val="20"/>
        </w:rPr>
        <w:br/>
        <w:t xml:space="preserve"> Evidence: #8 directly documents the 2021 Minneapolis charter-amendment ballot measure as the structural-reform mechanism pursued after council action stalled.</w:t>
      </w:r>
      <w:r w:rsidRPr="00A21FF6">
        <w:rPr>
          <w:sz w:val="20"/>
          <w:szCs w:val="20"/>
        </w:rPr>
        <w:br/>
        <w:t xml:space="preserve"> Confidence: High. Source Tag: #8.</w:t>
      </w:r>
      <w:r w:rsidRPr="00A21FF6">
        <w:rPr>
          <w:sz w:val="20"/>
          <w:szCs w:val="20"/>
        </w:rPr>
        <w:br/>
        <w:t xml:space="preserve"> e. Opposition's electoral-leverage counter-tactic.</w:t>
      </w:r>
      <w:r w:rsidRPr="00A21FF6">
        <w:rPr>
          <w:sz w:val="20"/>
          <w:szCs w:val="20"/>
        </w:rPr>
        <w:br/>
        <w:t xml:space="preserve"> Evidence: #6 directly documents the FOP's presidential endorsement explicitly framed around having "defeated" the campaign's reform agenda.</w:t>
      </w:r>
      <w:r w:rsidRPr="00A21FF6">
        <w:rPr>
          <w:sz w:val="20"/>
          <w:szCs w:val="20"/>
        </w:rPr>
        <w:br/>
        <w:t xml:space="preserve"> Confidence: High. Source Tag: #6.</w:t>
      </w:r>
    </w:p>
    <w:p w14:paraId="65B584AE" w14:textId="77777777" w:rsidR="006429CB" w:rsidRPr="00A21FF6" w:rsidRDefault="00641196" w:rsidP="006429CB">
      <w:pPr>
        <w:rPr>
          <w:sz w:val="20"/>
          <w:szCs w:val="20"/>
        </w:rPr>
      </w:pPr>
      <w:r>
        <w:rPr>
          <w:sz w:val="20"/>
          <w:szCs w:val="20"/>
        </w:rPr>
        <w:pict w14:anchorId="234A51AC">
          <v:rect id="_x0000_i1052" style="width:0;height:1.5pt" o:hralign="center" o:hrstd="t" o:hr="t" fillcolor="#a0a0a0" stroked="f"/>
        </w:pict>
      </w:r>
    </w:p>
    <w:p w14:paraId="7FAFF102" w14:textId="77777777" w:rsidR="006429CB" w:rsidRPr="00A21FF6" w:rsidRDefault="006429CB" w:rsidP="006429CB">
      <w:pPr>
        <w:rPr>
          <w:b/>
          <w:bCs/>
          <w:sz w:val="20"/>
          <w:szCs w:val="20"/>
        </w:rPr>
      </w:pPr>
      <w:r w:rsidRPr="00A21FF6">
        <w:rPr>
          <w:b/>
          <w:bCs/>
          <w:sz w:val="20"/>
          <w:szCs w:val="20"/>
        </w:rPr>
        <w:t>SOURCE-TO-VARIABLE MAPPING</w:t>
      </w:r>
    </w:p>
    <w:tbl>
      <w:tblPr>
        <w:tblW w:w="0" w:type="auto"/>
        <w:tblCellMar>
          <w:top w:w="15" w:type="dxa"/>
          <w:left w:w="15" w:type="dxa"/>
          <w:bottom w:w="15" w:type="dxa"/>
          <w:right w:w="15" w:type="dxa"/>
        </w:tblCellMar>
        <w:tblLook w:val="04A0" w:firstRow="1" w:lastRow="0" w:firstColumn="1" w:lastColumn="0" w:noHBand="0" w:noVBand="1"/>
      </w:tblPr>
      <w:tblGrid>
        <w:gridCol w:w="4648"/>
        <w:gridCol w:w="2794"/>
      </w:tblGrid>
      <w:tr w:rsidR="006429CB" w:rsidRPr="00A21FF6" w14:paraId="14A763EB" w14:textId="77777777">
        <w:trPr>
          <w:trHeight w:val="515"/>
        </w:trPr>
        <w:tc>
          <w:tcPr>
            <w:tcW w:w="0" w:type="auto"/>
            <w:tcMar>
              <w:top w:w="100" w:type="dxa"/>
              <w:left w:w="100" w:type="dxa"/>
              <w:bottom w:w="100" w:type="dxa"/>
              <w:right w:w="100" w:type="dxa"/>
            </w:tcMar>
            <w:hideMark/>
          </w:tcPr>
          <w:p w14:paraId="1BBDC5DA" w14:textId="77777777" w:rsidR="006429CB" w:rsidRPr="00A21FF6" w:rsidRDefault="006429CB" w:rsidP="006429CB">
            <w:pPr>
              <w:rPr>
                <w:sz w:val="20"/>
                <w:szCs w:val="20"/>
              </w:rPr>
            </w:pPr>
            <w:r w:rsidRPr="00A21FF6">
              <w:rPr>
                <w:b/>
                <w:bCs/>
                <w:sz w:val="20"/>
                <w:szCs w:val="20"/>
              </w:rPr>
              <w:t>Source</w:t>
            </w:r>
          </w:p>
        </w:tc>
        <w:tc>
          <w:tcPr>
            <w:tcW w:w="0" w:type="auto"/>
            <w:tcMar>
              <w:top w:w="100" w:type="dxa"/>
              <w:left w:w="100" w:type="dxa"/>
              <w:bottom w:w="100" w:type="dxa"/>
              <w:right w:w="100" w:type="dxa"/>
            </w:tcMar>
            <w:hideMark/>
          </w:tcPr>
          <w:p w14:paraId="5A5BF3DE" w14:textId="77777777" w:rsidR="006429CB" w:rsidRPr="00A21FF6" w:rsidRDefault="006429CB" w:rsidP="006429CB">
            <w:pPr>
              <w:rPr>
                <w:sz w:val="20"/>
                <w:szCs w:val="20"/>
              </w:rPr>
            </w:pPr>
            <w:r w:rsidRPr="00A21FF6">
              <w:rPr>
                <w:b/>
                <w:bCs/>
                <w:sz w:val="20"/>
                <w:szCs w:val="20"/>
              </w:rPr>
              <w:t>Variables</w:t>
            </w:r>
          </w:p>
        </w:tc>
      </w:tr>
      <w:tr w:rsidR="006429CB" w:rsidRPr="00A21FF6" w14:paraId="41804AC9" w14:textId="77777777">
        <w:trPr>
          <w:trHeight w:val="515"/>
        </w:trPr>
        <w:tc>
          <w:tcPr>
            <w:tcW w:w="0" w:type="auto"/>
            <w:tcMar>
              <w:top w:w="100" w:type="dxa"/>
              <w:left w:w="100" w:type="dxa"/>
              <w:bottom w:w="100" w:type="dxa"/>
              <w:right w:w="100" w:type="dxa"/>
            </w:tcMar>
            <w:hideMark/>
          </w:tcPr>
          <w:p w14:paraId="74B0E0CC" w14:textId="77777777" w:rsidR="006429CB" w:rsidRPr="00A21FF6" w:rsidRDefault="006429CB" w:rsidP="006429CB">
            <w:pPr>
              <w:rPr>
                <w:sz w:val="20"/>
                <w:szCs w:val="20"/>
              </w:rPr>
            </w:pPr>
            <w:r w:rsidRPr="00A21FF6">
              <w:rPr>
                <w:sz w:val="20"/>
                <w:szCs w:val="20"/>
              </w:rPr>
              <w:t>#1 WCCO/CBS Minnesota timeline</w:t>
            </w:r>
          </w:p>
        </w:tc>
        <w:tc>
          <w:tcPr>
            <w:tcW w:w="0" w:type="auto"/>
            <w:tcMar>
              <w:top w:w="100" w:type="dxa"/>
              <w:left w:w="100" w:type="dxa"/>
              <w:bottom w:w="100" w:type="dxa"/>
              <w:right w:w="100" w:type="dxa"/>
            </w:tcMar>
            <w:hideMark/>
          </w:tcPr>
          <w:p w14:paraId="40ACD551" w14:textId="77777777" w:rsidR="006429CB" w:rsidRPr="00A21FF6" w:rsidRDefault="006429CB" w:rsidP="006429CB">
            <w:pPr>
              <w:rPr>
                <w:sz w:val="20"/>
                <w:szCs w:val="20"/>
              </w:rPr>
            </w:pPr>
            <w:r w:rsidRPr="00A21FF6">
              <w:rPr>
                <w:sz w:val="20"/>
                <w:szCs w:val="20"/>
              </w:rPr>
              <w:t>1, 2, 4, 5, 6, 8, 10, 14, 15a, 15b</w:t>
            </w:r>
          </w:p>
        </w:tc>
      </w:tr>
      <w:tr w:rsidR="006429CB" w:rsidRPr="00A21FF6" w14:paraId="6FDEBE48" w14:textId="77777777">
        <w:trPr>
          <w:trHeight w:val="515"/>
        </w:trPr>
        <w:tc>
          <w:tcPr>
            <w:tcW w:w="0" w:type="auto"/>
            <w:tcMar>
              <w:top w:w="100" w:type="dxa"/>
              <w:left w:w="100" w:type="dxa"/>
              <w:bottom w:w="100" w:type="dxa"/>
              <w:right w:w="100" w:type="dxa"/>
            </w:tcMar>
            <w:hideMark/>
          </w:tcPr>
          <w:p w14:paraId="71C1C9FF" w14:textId="77777777" w:rsidR="006429CB" w:rsidRPr="00A21FF6" w:rsidRDefault="006429CB" w:rsidP="006429CB">
            <w:pPr>
              <w:rPr>
                <w:sz w:val="20"/>
                <w:szCs w:val="20"/>
              </w:rPr>
            </w:pPr>
            <w:r w:rsidRPr="00A21FF6">
              <w:rPr>
                <w:sz w:val="20"/>
                <w:szCs w:val="20"/>
              </w:rPr>
              <w:t>#2 BREATHE Act (M4BL)</w:t>
            </w:r>
          </w:p>
        </w:tc>
        <w:tc>
          <w:tcPr>
            <w:tcW w:w="0" w:type="auto"/>
            <w:tcMar>
              <w:top w:w="100" w:type="dxa"/>
              <w:left w:w="100" w:type="dxa"/>
              <w:bottom w:w="100" w:type="dxa"/>
              <w:right w:w="100" w:type="dxa"/>
            </w:tcMar>
            <w:hideMark/>
          </w:tcPr>
          <w:p w14:paraId="326F38B1" w14:textId="77777777" w:rsidR="006429CB" w:rsidRPr="00A21FF6" w:rsidRDefault="006429CB" w:rsidP="006429CB">
            <w:pPr>
              <w:rPr>
                <w:sz w:val="20"/>
                <w:szCs w:val="20"/>
              </w:rPr>
            </w:pPr>
            <w:r w:rsidRPr="00A21FF6">
              <w:rPr>
                <w:sz w:val="20"/>
                <w:szCs w:val="20"/>
              </w:rPr>
              <w:t>1, 6, 7, 15c</w:t>
            </w:r>
          </w:p>
        </w:tc>
      </w:tr>
      <w:tr w:rsidR="006429CB" w:rsidRPr="00A21FF6" w14:paraId="0980A4EF" w14:textId="77777777">
        <w:trPr>
          <w:trHeight w:val="515"/>
        </w:trPr>
        <w:tc>
          <w:tcPr>
            <w:tcW w:w="0" w:type="auto"/>
            <w:tcMar>
              <w:top w:w="100" w:type="dxa"/>
              <w:left w:w="100" w:type="dxa"/>
              <w:bottom w:w="100" w:type="dxa"/>
              <w:right w:w="100" w:type="dxa"/>
            </w:tcMar>
            <w:hideMark/>
          </w:tcPr>
          <w:p w14:paraId="4F36C425" w14:textId="77777777" w:rsidR="006429CB" w:rsidRPr="00A21FF6" w:rsidRDefault="006429CB" w:rsidP="006429CB">
            <w:pPr>
              <w:rPr>
                <w:sz w:val="20"/>
                <w:szCs w:val="20"/>
              </w:rPr>
            </w:pPr>
            <w:r w:rsidRPr="00A21FF6">
              <w:rPr>
                <w:sz w:val="20"/>
                <w:szCs w:val="20"/>
              </w:rPr>
              <w:t>#3 AP/Stafford, BREATHE Act coverage</w:t>
            </w:r>
          </w:p>
        </w:tc>
        <w:tc>
          <w:tcPr>
            <w:tcW w:w="0" w:type="auto"/>
            <w:tcMar>
              <w:top w:w="100" w:type="dxa"/>
              <w:left w:w="100" w:type="dxa"/>
              <w:bottom w:w="100" w:type="dxa"/>
              <w:right w:w="100" w:type="dxa"/>
            </w:tcMar>
            <w:hideMark/>
          </w:tcPr>
          <w:p w14:paraId="030FA02E" w14:textId="77777777" w:rsidR="006429CB" w:rsidRPr="00A21FF6" w:rsidRDefault="006429CB" w:rsidP="006429CB">
            <w:pPr>
              <w:rPr>
                <w:sz w:val="20"/>
                <w:szCs w:val="20"/>
              </w:rPr>
            </w:pPr>
            <w:r w:rsidRPr="00A21FF6">
              <w:rPr>
                <w:sz w:val="20"/>
                <w:szCs w:val="20"/>
              </w:rPr>
              <w:t>7, 8, 15c</w:t>
            </w:r>
          </w:p>
        </w:tc>
      </w:tr>
      <w:tr w:rsidR="006429CB" w:rsidRPr="00A21FF6" w14:paraId="58FBECBF" w14:textId="77777777">
        <w:trPr>
          <w:trHeight w:val="515"/>
        </w:trPr>
        <w:tc>
          <w:tcPr>
            <w:tcW w:w="0" w:type="auto"/>
            <w:tcMar>
              <w:top w:w="100" w:type="dxa"/>
              <w:left w:w="100" w:type="dxa"/>
              <w:bottom w:w="100" w:type="dxa"/>
              <w:right w:w="100" w:type="dxa"/>
            </w:tcMar>
            <w:hideMark/>
          </w:tcPr>
          <w:p w14:paraId="27441C5A" w14:textId="77777777" w:rsidR="006429CB" w:rsidRPr="00A21FF6" w:rsidRDefault="006429CB" w:rsidP="006429CB">
            <w:pPr>
              <w:rPr>
                <w:sz w:val="20"/>
                <w:szCs w:val="20"/>
              </w:rPr>
            </w:pPr>
            <w:r w:rsidRPr="00A21FF6">
              <w:rPr>
                <w:sz w:val="20"/>
                <w:szCs w:val="20"/>
              </w:rPr>
              <w:t>#4 CharityWatch, BLMGNF rating</w:t>
            </w:r>
          </w:p>
        </w:tc>
        <w:tc>
          <w:tcPr>
            <w:tcW w:w="0" w:type="auto"/>
            <w:tcMar>
              <w:top w:w="100" w:type="dxa"/>
              <w:left w:w="100" w:type="dxa"/>
              <w:bottom w:w="100" w:type="dxa"/>
              <w:right w:w="100" w:type="dxa"/>
            </w:tcMar>
            <w:hideMark/>
          </w:tcPr>
          <w:p w14:paraId="7B0063A7" w14:textId="77777777" w:rsidR="006429CB" w:rsidRPr="00A21FF6" w:rsidRDefault="006429CB" w:rsidP="006429CB">
            <w:pPr>
              <w:rPr>
                <w:sz w:val="20"/>
                <w:szCs w:val="20"/>
              </w:rPr>
            </w:pPr>
            <w:r w:rsidRPr="00A21FF6">
              <w:rPr>
                <w:sz w:val="20"/>
                <w:szCs w:val="20"/>
              </w:rPr>
              <w:t>8</w:t>
            </w:r>
          </w:p>
        </w:tc>
      </w:tr>
      <w:tr w:rsidR="006429CB" w:rsidRPr="00A21FF6" w14:paraId="18087176" w14:textId="77777777">
        <w:trPr>
          <w:trHeight w:val="515"/>
        </w:trPr>
        <w:tc>
          <w:tcPr>
            <w:tcW w:w="0" w:type="auto"/>
            <w:tcMar>
              <w:top w:w="100" w:type="dxa"/>
              <w:left w:w="100" w:type="dxa"/>
              <w:bottom w:w="100" w:type="dxa"/>
              <w:right w:w="100" w:type="dxa"/>
            </w:tcMar>
            <w:hideMark/>
          </w:tcPr>
          <w:p w14:paraId="53B65359" w14:textId="77777777" w:rsidR="006429CB" w:rsidRPr="00A21FF6" w:rsidRDefault="006429CB" w:rsidP="006429CB">
            <w:pPr>
              <w:rPr>
                <w:sz w:val="20"/>
                <w:szCs w:val="20"/>
              </w:rPr>
            </w:pPr>
            <w:r w:rsidRPr="00A21FF6">
              <w:rPr>
                <w:sz w:val="20"/>
                <w:szCs w:val="20"/>
              </w:rPr>
              <w:lastRenderedPageBreak/>
              <w:t>#5 Daily Beast, FOP/Jan.6 piece</w:t>
            </w:r>
          </w:p>
        </w:tc>
        <w:tc>
          <w:tcPr>
            <w:tcW w:w="0" w:type="auto"/>
            <w:tcMar>
              <w:top w:w="100" w:type="dxa"/>
              <w:left w:w="100" w:type="dxa"/>
              <w:bottom w:w="100" w:type="dxa"/>
              <w:right w:w="100" w:type="dxa"/>
            </w:tcMar>
            <w:hideMark/>
          </w:tcPr>
          <w:p w14:paraId="14A84FC2" w14:textId="77777777" w:rsidR="006429CB" w:rsidRPr="00A21FF6" w:rsidRDefault="006429CB" w:rsidP="006429CB">
            <w:pPr>
              <w:rPr>
                <w:sz w:val="20"/>
                <w:szCs w:val="20"/>
              </w:rPr>
            </w:pPr>
            <w:r w:rsidRPr="00A21FF6">
              <w:rPr>
                <w:sz w:val="20"/>
                <w:szCs w:val="20"/>
              </w:rPr>
              <w:t>3, 4</w:t>
            </w:r>
          </w:p>
        </w:tc>
      </w:tr>
      <w:tr w:rsidR="006429CB" w:rsidRPr="00A21FF6" w14:paraId="4422E417" w14:textId="77777777">
        <w:trPr>
          <w:trHeight w:val="515"/>
        </w:trPr>
        <w:tc>
          <w:tcPr>
            <w:tcW w:w="0" w:type="auto"/>
            <w:tcMar>
              <w:top w:w="100" w:type="dxa"/>
              <w:left w:w="100" w:type="dxa"/>
              <w:bottom w:w="100" w:type="dxa"/>
              <w:right w:w="100" w:type="dxa"/>
            </w:tcMar>
            <w:hideMark/>
          </w:tcPr>
          <w:p w14:paraId="16F5873F" w14:textId="77777777" w:rsidR="006429CB" w:rsidRPr="00A21FF6" w:rsidRDefault="006429CB" w:rsidP="006429CB">
            <w:pPr>
              <w:rPr>
                <w:sz w:val="20"/>
                <w:szCs w:val="20"/>
              </w:rPr>
            </w:pPr>
            <w:r w:rsidRPr="00A21FF6">
              <w:rPr>
                <w:sz w:val="20"/>
                <w:szCs w:val="20"/>
              </w:rPr>
              <w:t>#6 Fox News, FOP Trump endorsement</w:t>
            </w:r>
          </w:p>
        </w:tc>
        <w:tc>
          <w:tcPr>
            <w:tcW w:w="0" w:type="auto"/>
            <w:tcMar>
              <w:top w:w="100" w:type="dxa"/>
              <w:left w:w="100" w:type="dxa"/>
              <w:bottom w:w="100" w:type="dxa"/>
              <w:right w:w="100" w:type="dxa"/>
            </w:tcMar>
            <w:hideMark/>
          </w:tcPr>
          <w:p w14:paraId="64524B62" w14:textId="77777777" w:rsidR="006429CB" w:rsidRPr="00A21FF6" w:rsidRDefault="006429CB" w:rsidP="006429CB">
            <w:pPr>
              <w:rPr>
                <w:sz w:val="20"/>
                <w:szCs w:val="20"/>
              </w:rPr>
            </w:pPr>
            <w:r w:rsidRPr="00A21FF6">
              <w:rPr>
                <w:sz w:val="20"/>
                <w:szCs w:val="20"/>
              </w:rPr>
              <w:t>3, 4, 14, 15e</w:t>
            </w:r>
          </w:p>
        </w:tc>
      </w:tr>
      <w:tr w:rsidR="006429CB" w:rsidRPr="00A21FF6" w14:paraId="199608A1" w14:textId="77777777">
        <w:trPr>
          <w:trHeight w:val="515"/>
        </w:trPr>
        <w:tc>
          <w:tcPr>
            <w:tcW w:w="0" w:type="auto"/>
            <w:tcMar>
              <w:top w:w="100" w:type="dxa"/>
              <w:left w:w="100" w:type="dxa"/>
              <w:bottom w:w="100" w:type="dxa"/>
              <w:right w:w="100" w:type="dxa"/>
            </w:tcMar>
            <w:hideMark/>
          </w:tcPr>
          <w:p w14:paraId="09951901" w14:textId="77777777" w:rsidR="006429CB" w:rsidRPr="00A21FF6" w:rsidRDefault="006429CB" w:rsidP="006429CB">
            <w:pPr>
              <w:rPr>
                <w:sz w:val="20"/>
                <w:szCs w:val="20"/>
              </w:rPr>
            </w:pPr>
            <w:r w:rsidRPr="00A21FF6">
              <w:rPr>
                <w:sz w:val="20"/>
                <w:szCs w:val="20"/>
              </w:rPr>
              <w:t>#7 Ebbinghaus et al., Social Problems</w:t>
            </w:r>
          </w:p>
        </w:tc>
        <w:tc>
          <w:tcPr>
            <w:tcW w:w="0" w:type="auto"/>
            <w:tcMar>
              <w:top w:w="100" w:type="dxa"/>
              <w:left w:w="100" w:type="dxa"/>
              <w:bottom w:w="100" w:type="dxa"/>
              <w:right w:w="100" w:type="dxa"/>
            </w:tcMar>
            <w:hideMark/>
          </w:tcPr>
          <w:p w14:paraId="37ECFC41" w14:textId="77777777" w:rsidR="006429CB" w:rsidRPr="00A21FF6" w:rsidRDefault="006429CB" w:rsidP="006429CB">
            <w:pPr>
              <w:rPr>
                <w:sz w:val="20"/>
                <w:szCs w:val="20"/>
              </w:rPr>
            </w:pPr>
            <w:r w:rsidRPr="00A21FF6">
              <w:rPr>
                <w:sz w:val="20"/>
                <w:szCs w:val="20"/>
              </w:rPr>
              <w:t>9, 11</w:t>
            </w:r>
          </w:p>
        </w:tc>
      </w:tr>
      <w:tr w:rsidR="006429CB" w:rsidRPr="00A21FF6" w14:paraId="2DB26447" w14:textId="77777777">
        <w:trPr>
          <w:trHeight w:val="515"/>
        </w:trPr>
        <w:tc>
          <w:tcPr>
            <w:tcW w:w="0" w:type="auto"/>
            <w:tcMar>
              <w:top w:w="100" w:type="dxa"/>
              <w:left w:w="100" w:type="dxa"/>
              <w:bottom w:w="100" w:type="dxa"/>
              <w:right w:w="100" w:type="dxa"/>
            </w:tcMar>
            <w:hideMark/>
          </w:tcPr>
          <w:p w14:paraId="2BD5D91D" w14:textId="77777777" w:rsidR="006429CB" w:rsidRPr="00A21FF6" w:rsidRDefault="006429CB" w:rsidP="006429CB">
            <w:pPr>
              <w:rPr>
                <w:sz w:val="20"/>
                <w:szCs w:val="20"/>
              </w:rPr>
            </w:pPr>
            <w:r w:rsidRPr="00A21FF6">
              <w:rPr>
                <w:sz w:val="20"/>
                <w:szCs w:val="20"/>
              </w:rPr>
              <w:t>#8 Sahan Journal, Minneapolis ballot</w:t>
            </w:r>
          </w:p>
        </w:tc>
        <w:tc>
          <w:tcPr>
            <w:tcW w:w="0" w:type="auto"/>
            <w:tcMar>
              <w:top w:w="100" w:type="dxa"/>
              <w:left w:w="100" w:type="dxa"/>
              <w:bottom w:w="100" w:type="dxa"/>
              <w:right w:w="100" w:type="dxa"/>
            </w:tcMar>
            <w:hideMark/>
          </w:tcPr>
          <w:p w14:paraId="45F6F218" w14:textId="77777777" w:rsidR="006429CB" w:rsidRPr="00A21FF6" w:rsidRDefault="006429CB" w:rsidP="006429CB">
            <w:pPr>
              <w:rPr>
                <w:sz w:val="20"/>
                <w:szCs w:val="20"/>
              </w:rPr>
            </w:pPr>
            <w:r w:rsidRPr="00A21FF6">
              <w:rPr>
                <w:sz w:val="20"/>
                <w:szCs w:val="20"/>
              </w:rPr>
              <w:t>9, 10, 11, 15d</w:t>
            </w:r>
          </w:p>
        </w:tc>
      </w:tr>
      <w:tr w:rsidR="006429CB" w:rsidRPr="00A21FF6" w14:paraId="648A0747" w14:textId="77777777">
        <w:trPr>
          <w:trHeight w:val="515"/>
        </w:trPr>
        <w:tc>
          <w:tcPr>
            <w:tcW w:w="0" w:type="auto"/>
            <w:tcMar>
              <w:top w:w="100" w:type="dxa"/>
              <w:left w:w="100" w:type="dxa"/>
              <w:bottom w:w="100" w:type="dxa"/>
              <w:right w:w="100" w:type="dxa"/>
            </w:tcMar>
            <w:hideMark/>
          </w:tcPr>
          <w:p w14:paraId="2FF931AE" w14:textId="77777777" w:rsidR="006429CB" w:rsidRDefault="006429CB" w:rsidP="006429CB">
            <w:pPr>
              <w:rPr>
                <w:sz w:val="20"/>
                <w:szCs w:val="20"/>
              </w:rPr>
            </w:pPr>
            <w:r w:rsidRPr="00A21FF6">
              <w:rPr>
                <w:sz w:val="20"/>
                <w:szCs w:val="20"/>
              </w:rPr>
              <w:t>#9 Brennan Center, State Policing Reforms</w:t>
            </w:r>
          </w:p>
          <w:p w14:paraId="2FBDBE4D" w14:textId="6B3225D1" w:rsidR="00DE1A21" w:rsidRPr="00A21FF6" w:rsidRDefault="00343C5F" w:rsidP="006429CB">
            <w:pPr>
              <w:rPr>
                <w:sz w:val="20"/>
                <w:szCs w:val="20"/>
              </w:rPr>
            </w:pPr>
            <w:r w:rsidRPr="00343C5F">
              <w:rPr>
                <w:sz w:val="20"/>
                <w:szCs w:val="20"/>
              </w:rPr>
              <w:t>Gallup Confidence in Institutions annual trend — 12</w:t>
            </w:r>
            <w:r w:rsidRPr="00343C5F">
              <w:rPr>
                <w:sz w:val="20"/>
                <w:szCs w:val="20"/>
              </w:rPr>
              <w:br/>
              <w:t>Gallup Law and Order Index 2019 — 12</w:t>
            </w:r>
            <w:r w:rsidRPr="00343C5F">
              <w:rPr>
                <w:sz w:val="20"/>
                <w:szCs w:val="20"/>
              </w:rPr>
              <w:br/>
              <w:t>Pew Research Center April 2020 — 12</w:t>
            </w:r>
          </w:p>
        </w:tc>
        <w:tc>
          <w:tcPr>
            <w:tcW w:w="0" w:type="auto"/>
            <w:tcMar>
              <w:top w:w="100" w:type="dxa"/>
              <w:left w:w="100" w:type="dxa"/>
              <w:bottom w:w="100" w:type="dxa"/>
              <w:right w:w="100" w:type="dxa"/>
            </w:tcMar>
            <w:hideMark/>
          </w:tcPr>
          <w:p w14:paraId="1D3A66E4" w14:textId="77777777" w:rsidR="006429CB" w:rsidRPr="00A21FF6" w:rsidRDefault="006429CB" w:rsidP="006429CB">
            <w:pPr>
              <w:rPr>
                <w:sz w:val="20"/>
                <w:szCs w:val="20"/>
              </w:rPr>
            </w:pPr>
            <w:r w:rsidRPr="00A21FF6">
              <w:rPr>
                <w:sz w:val="20"/>
                <w:szCs w:val="20"/>
              </w:rPr>
              <w:t>1, 2, 7, 10, 11, 13</w:t>
            </w:r>
          </w:p>
        </w:tc>
      </w:tr>
    </w:tbl>
    <w:p w14:paraId="1E460F74" w14:textId="77777777" w:rsidR="006429CB" w:rsidRPr="00A21FF6" w:rsidRDefault="006429CB" w:rsidP="006429CB">
      <w:pPr>
        <w:rPr>
          <w:b/>
          <w:bCs/>
          <w:sz w:val="20"/>
          <w:szCs w:val="20"/>
        </w:rPr>
      </w:pPr>
      <w:r w:rsidRPr="00A21FF6">
        <w:rPr>
          <w:b/>
          <w:bCs/>
          <w:sz w:val="20"/>
          <w:szCs w:val="20"/>
        </w:rPr>
        <w:t>OBSERVATION</w:t>
      </w:r>
    </w:p>
    <w:p w14:paraId="00CB94C2" w14:textId="77777777" w:rsidR="006429CB" w:rsidRPr="00A21FF6" w:rsidRDefault="006429CB" w:rsidP="006429CB">
      <w:pPr>
        <w:rPr>
          <w:sz w:val="20"/>
          <w:szCs w:val="20"/>
        </w:rPr>
      </w:pPr>
      <w:r w:rsidRPr="00A21FF6">
        <w:rPr>
          <w:sz w:val="20"/>
          <w:szCs w:val="20"/>
        </w:rPr>
        <w:t>Evidence is well-distributed: Source #1 (the contemporaneous local timeline) and #9 (the state-level outcomes report) each anchor roughly 7–8 of 15 entries, reflecting their roles as the most comprehensive single accounts of, respectively, the acute origin period and the multi-state outcome picture. No single source dominates beyond what its scope would suggest, and opposition, coalition, and outcome evidence each draw from independent, distinct sources rather than one source covering multiple roles.</w:t>
      </w:r>
    </w:p>
    <w:p w14:paraId="1D16921F" w14:textId="77777777" w:rsidR="006429CB" w:rsidRPr="00A21FF6" w:rsidRDefault="006429CB" w:rsidP="006429CB">
      <w:pPr>
        <w:rPr>
          <w:b/>
          <w:bCs/>
          <w:sz w:val="20"/>
          <w:szCs w:val="20"/>
        </w:rPr>
      </w:pPr>
      <w:r w:rsidRPr="00A21FF6">
        <w:rPr>
          <w:b/>
          <w:bCs/>
          <w:sz w:val="20"/>
          <w:szCs w:val="20"/>
        </w:rPr>
        <w:t>CASE-LEVEL SUMMARY</w:t>
      </w:r>
    </w:p>
    <w:p w14:paraId="05F07939" w14:textId="77777777" w:rsidR="006429CB" w:rsidRPr="00A21FF6" w:rsidRDefault="006429CB" w:rsidP="006429CB">
      <w:pPr>
        <w:rPr>
          <w:sz w:val="20"/>
          <w:szCs w:val="20"/>
        </w:rPr>
      </w:pPr>
      <w:r w:rsidRPr="00A21FF6">
        <w:rPr>
          <w:b/>
          <w:bCs/>
          <w:sz w:val="20"/>
          <w:szCs w:val="20"/>
        </w:rPr>
        <w:t>Low confidence / insufficient:</w:t>
      </w:r>
    </w:p>
    <w:p w14:paraId="75672308" w14:textId="77777777" w:rsidR="006429CB" w:rsidRPr="00A21FF6" w:rsidRDefault="006429CB" w:rsidP="00043AF9">
      <w:pPr>
        <w:numPr>
          <w:ilvl w:val="0"/>
          <w:numId w:val="8"/>
        </w:numPr>
        <w:rPr>
          <w:sz w:val="20"/>
          <w:szCs w:val="20"/>
        </w:rPr>
      </w:pPr>
      <w:r w:rsidRPr="00A21FF6">
        <w:rPr>
          <w:sz w:val="20"/>
          <w:szCs w:val="20"/>
        </w:rPr>
        <w:t>#12 Public sentiment starting point — Insufficient evidence; case runs on 13 variables.</w:t>
      </w:r>
    </w:p>
    <w:p w14:paraId="10B7EF9E" w14:textId="77777777" w:rsidR="006429CB" w:rsidRPr="00A21FF6" w:rsidRDefault="006429CB" w:rsidP="006429CB">
      <w:pPr>
        <w:rPr>
          <w:sz w:val="20"/>
          <w:szCs w:val="20"/>
        </w:rPr>
      </w:pPr>
      <w:r w:rsidRPr="00A21FF6">
        <w:rPr>
          <w:b/>
          <w:bCs/>
          <w:sz w:val="20"/>
          <w:szCs w:val="20"/>
        </w:rPr>
        <w:t>Medium confidence:</w:t>
      </w:r>
    </w:p>
    <w:p w14:paraId="7B704C73" w14:textId="77777777" w:rsidR="006429CB" w:rsidRPr="00A21FF6" w:rsidRDefault="006429CB" w:rsidP="00043AF9">
      <w:pPr>
        <w:numPr>
          <w:ilvl w:val="0"/>
          <w:numId w:val="9"/>
        </w:numPr>
        <w:rPr>
          <w:sz w:val="20"/>
          <w:szCs w:val="20"/>
        </w:rPr>
      </w:pPr>
      <w:r w:rsidRPr="00A21FF6">
        <w:rPr>
          <w:sz w:val="20"/>
          <w:szCs w:val="20"/>
        </w:rPr>
        <w:t>#14 Narrative dominance — strong at both the initial and most recent endpoints, but no source tracks the contestation continuously across the multi-year window.</w:t>
      </w:r>
    </w:p>
    <w:p w14:paraId="1E31BFA1" w14:textId="77777777" w:rsidR="006429CB" w:rsidRPr="00A21FF6" w:rsidRDefault="006429CB" w:rsidP="006429CB">
      <w:pPr>
        <w:rPr>
          <w:sz w:val="20"/>
          <w:szCs w:val="20"/>
        </w:rPr>
      </w:pPr>
      <w:r w:rsidRPr="00A21FF6">
        <w:rPr>
          <w:b/>
          <w:bCs/>
          <w:sz w:val="20"/>
          <w:szCs w:val="20"/>
        </w:rPr>
        <w:t>Phase 1/4 exception use:</w:t>
      </w:r>
      <w:r w:rsidRPr="00A21FF6">
        <w:rPr>
          <w:sz w:val="20"/>
          <w:szCs w:val="20"/>
        </w:rPr>
        <w:t xml:space="preserve"> None required. Legal/regulatory landscape (#13) and Narrative dominance (#14) were both coded entirely from in-window locked sources without reaching outside the locked set.</w:t>
      </w:r>
    </w:p>
    <w:p w14:paraId="75915409" w14:textId="77777777" w:rsidR="006429CB" w:rsidRPr="00A21FF6" w:rsidRDefault="006429CB" w:rsidP="006429CB">
      <w:pPr>
        <w:rPr>
          <w:b/>
          <w:bCs/>
          <w:sz w:val="20"/>
          <w:szCs w:val="20"/>
        </w:rPr>
      </w:pPr>
      <w:r w:rsidRPr="00A21FF6">
        <w:rPr>
          <w:b/>
          <w:bCs/>
          <w:sz w:val="20"/>
          <w:szCs w:val="20"/>
        </w:rPr>
        <w:t>OVERALL CASE CONFIDENCE/QUALITY FLAG</w:t>
      </w:r>
    </w:p>
    <w:p w14:paraId="6351C139" w14:textId="77777777" w:rsidR="006429CB" w:rsidRPr="00A21FF6" w:rsidRDefault="006429CB" w:rsidP="006429CB">
      <w:pPr>
        <w:rPr>
          <w:sz w:val="20"/>
          <w:szCs w:val="20"/>
        </w:rPr>
      </w:pPr>
      <w:r w:rsidRPr="00A21FF6">
        <w:rPr>
          <w:b/>
          <w:bCs/>
          <w:sz w:val="20"/>
          <w:szCs w:val="20"/>
        </w:rPr>
        <w:t>Medium-High.</w:t>
      </w:r>
      <w:r w:rsidRPr="00A21FF6">
        <w:rPr>
          <w:sz w:val="20"/>
          <w:szCs w:val="20"/>
        </w:rPr>
        <w:t xml:space="preserve"> 13 of 14 substantive variables sit at High confidence, one at Medium, and one genuine structural gap (Public sentiment). Source diversity spans contemporaneous local journalism, the campaign's own primary policy platform, AP wire reporting, an independent charity evaluator, two ideologically distinct national outlets covering the opposition directly, peer-reviewed empirical research, and independent local journalism on the flagship reversal — covering all four required categories. The Mixed/Unresolved codings for Speed and Scale of change are appropriate and well-evidenced; this case's defining structural feature — rapid initial local wins set against a well-organised, ultimately effective opposition counter-mobilisation — is unusually clearly documented for an ongoing, contested case.</w:t>
      </w:r>
    </w:p>
    <w:p w14:paraId="526E8D89" w14:textId="77777777" w:rsidR="006429CB" w:rsidRPr="00A21FF6" w:rsidRDefault="006429CB" w:rsidP="006429CB">
      <w:pPr>
        <w:rPr>
          <w:b/>
          <w:bCs/>
          <w:sz w:val="20"/>
          <w:szCs w:val="20"/>
        </w:rPr>
      </w:pPr>
      <w:r w:rsidRPr="00A21FF6">
        <w:rPr>
          <w:b/>
          <w:bCs/>
          <w:sz w:val="20"/>
          <w:szCs w:val="20"/>
        </w:rPr>
        <w:t>HINDSIGHT NOTES</w:t>
      </w:r>
    </w:p>
    <w:p w14:paraId="763894D6" w14:textId="77777777" w:rsidR="006429CB" w:rsidRPr="00A21FF6" w:rsidRDefault="006429CB" w:rsidP="00043AF9">
      <w:pPr>
        <w:numPr>
          <w:ilvl w:val="0"/>
          <w:numId w:val="10"/>
        </w:numPr>
        <w:rPr>
          <w:sz w:val="20"/>
          <w:szCs w:val="20"/>
        </w:rPr>
      </w:pPr>
      <w:r w:rsidRPr="00A21FF6">
        <w:rPr>
          <w:sz w:val="20"/>
          <w:szCs w:val="20"/>
        </w:rPr>
        <w:t>Hindsight note: Coalition size/type (#8) and Strength of opposition (#3) — if a dedicated corporate/cultural-response source were added (e.g. tracking the ~$10B+ in corporate BLM-linked pledges and their subsequent rollback by 2023–2024), this would likely reveal an additional, large-scale coalition/backlash dimension not captured in the current locked set; flagged as an acknowledged gap from retrieval, not used in coding above.</w:t>
      </w:r>
    </w:p>
    <w:p w14:paraId="73B2CE4D" w14:textId="77777777" w:rsidR="006429CB" w:rsidRPr="00A21FF6" w:rsidRDefault="006429CB" w:rsidP="00043AF9">
      <w:pPr>
        <w:numPr>
          <w:ilvl w:val="0"/>
          <w:numId w:val="10"/>
        </w:numPr>
        <w:rPr>
          <w:sz w:val="20"/>
          <w:szCs w:val="20"/>
        </w:rPr>
      </w:pPr>
      <w:r w:rsidRPr="00A21FF6">
        <w:rPr>
          <w:sz w:val="20"/>
          <w:szCs w:val="20"/>
        </w:rPr>
        <w:t>Hindsight note: Visibility/Scale of change (#5, #11) — a dedicated protest-scale dataset (e.g. Crowd Counting Consortium) would allow more precise, directly-sourced scale-of-mobilisation evidence rather than relying on figures embedded in secondary academic literature reviews; not used in coding above as no such standalone source was locked.</w:t>
      </w:r>
    </w:p>
    <w:p w14:paraId="2DA143DB" w14:textId="77777777" w:rsidR="006429CB" w:rsidRPr="00A21FF6" w:rsidRDefault="006429CB" w:rsidP="00043AF9">
      <w:pPr>
        <w:numPr>
          <w:ilvl w:val="0"/>
          <w:numId w:val="10"/>
        </w:numPr>
        <w:rPr>
          <w:sz w:val="20"/>
          <w:szCs w:val="20"/>
        </w:rPr>
      </w:pPr>
      <w:r w:rsidRPr="00A21FF6">
        <w:rPr>
          <w:sz w:val="20"/>
          <w:szCs w:val="20"/>
        </w:rPr>
        <w:lastRenderedPageBreak/>
        <w:t>No hindsight notes applicable for Public sentiment starting point — gap is structural (no baseline source exists in the locked set), not resolvable by later evidence.</w:t>
      </w:r>
    </w:p>
    <w:p w14:paraId="0E9AB8D3" w14:textId="124B768D" w:rsidR="00DB58B4" w:rsidRPr="0082197F" w:rsidRDefault="00DB58B4" w:rsidP="00DB58B4">
      <w:pPr>
        <w:pStyle w:val="Heading1"/>
      </w:pPr>
      <w:r>
        <w:t xml:space="preserve">CASE 15: </w:t>
      </w:r>
      <w:r w:rsidR="00406785">
        <w:t>UK Single-use plastics ban</w:t>
      </w:r>
    </w:p>
    <w:p w14:paraId="62B4D174" w14:textId="77777777" w:rsidR="00406785" w:rsidRPr="00406785" w:rsidRDefault="00406785" w:rsidP="00406785">
      <w:pPr>
        <w:rPr>
          <w:sz w:val="20"/>
          <w:szCs w:val="20"/>
        </w:rPr>
      </w:pPr>
      <w:r w:rsidRPr="00406785">
        <w:rPr>
          <w:b/>
          <w:bCs/>
          <w:sz w:val="20"/>
          <w:szCs w:val="20"/>
        </w:rPr>
        <w:t>LIST B — EVIDENCE / CONFIDENCE / SOURCE TAG</w:t>
      </w:r>
    </w:p>
    <w:p w14:paraId="4DD42AA1" w14:textId="77777777" w:rsidR="00406785" w:rsidRPr="00406785" w:rsidRDefault="00406785" w:rsidP="00406785">
      <w:pPr>
        <w:numPr>
          <w:ilvl w:val="0"/>
          <w:numId w:val="54"/>
        </w:numPr>
        <w:rPr>
          <w:sz w:val="20"/>
          <w:szCs w:val="20"/>
        </w:rPr>
      </w:pPr>
      <w:r w:rsidRPr="00406785">
        <w:rPr>
          <w:sz w:val="20"/>
          <w:szCs w:val="20"/>
        </w:rPr>
        <w:t>Target type</w:t>
      </w:r>
      <w:r w:rsidRPr="00406785">
        <w:rPr>
          <w:sz w:val="20"/>
          <w:szCs w:val="20"/>
        </w:rPr>
        <w:br/>
        <w:t>Evidence: Sources 3, 4, and 5 (GOV.UK consultation launch October 2018; Gove confirmation May 2019; Eustice ban commencement October 2020) all confirm DEFRA/Secretary of State as the primary decision-maker throughout, with the ban delivered via statutory instrument. Source 6 (SAS Campaign Win) identifies the UK government as the campaign's primary target and frames the ban as the campaign win.</w:t>
      </w:r>
      <w:r w:rsidRPr="00406785">
        <w:rPr>
          <w:sz w:val="20"/>
          <w:szCs w:val="20"/>
        </w:rPr>
        <w:br/>
        <w:t>Confidence: High — three sequential primary government documents directly evidence the target and mechanism, corroborated by the campaign actor source.</w:t>
      </w:r>
      <w:r w:rsidRPr="00406785">
        <w:rPr>
          <w:sz w:val="20"/>
          <w:szCs w:val="20"/>
        </w:rPr>
        <w:br/>
        <w:t>Source Tag: Sources 3, 4, 5, 6.</w:t>
      </w:r>
    </w:p>
    <w:p w14:paraId="5F743402" w14:textId="77777777" w:rsidR="00406785" w:rsidRPr="00406785" w:rsidRDefault="00406785" w:rsidP="00406785">
      <w:pPr>
        <w:numPr>
          <w:ilvl w:val="0"/>
          <w:numId w:val="54"/>
        </w:numPr>
        <w:rPr>
          <w:sz w:val="20"/>
          <w:szCs w:val="20"/>
        </w:rPr>
      </w:pPr>
      <w:r w:rsidRPr="00406785">
        <w:rPr>
          <w:sz w:val="20"/>
          <w:szCs w:val="20"/>
        </w:rPr>
        <w:t>Concentration of decision-making power</w:t>
      </w:r>
      <w:r w:rsidRPr="00406785">
        <w:rPr>
          <w:sz w:val="20"/>
          <w:szCs w:val="20"/>
        </w:rPr>
        <w:br/>
        <w:t>Evidence: Sources 3 and 4 (GOV.UK consultation launch and Gove confirmation) show a single Secretary of State launching and confirming the ban following a six-week consultation, with no parliamentary bill required. Source 5 (Eustice commencement) confirms the same concentrated departmental authority at commencement. No evidence of any cross-departmental or parliamentary bloc required to authorise the measure.</w:t>
      </w:r>
      <w:r w:rsidRPr="00406785">
        <w:rPr>
          <w:sz w:val="20"/>
          <w:szCs w:val="20"/>
        </w:rPr>
        <w:br/>
        <w:t>Confidence: High — the statutory instrument route (concentrated in one minister) is directly confirmed by all three GOV.UK press releases.</w:t>
      </w:r>
      <w:r w:rsidRPr="00406785">
        <w:rPr>
          <w:sz w:val="20"/>
          <w:szCs w:val="20"/>
        </w:rPr>
        <w:br/>
        <w:t>Source Tag: Sources 3, 4, 5.</w:t>
      </w:r>
    </w:p>
    <w:p w14:paraId="07FC228C" w14:textId="77777777" w:rsidR="00406785" w:rsidRPr="00406785" w:rsidRDefault="00406785" w:rsidP="00406785">
      <w:pPr>
        <w:numPr>
          <w:ilvl w:val="0"/>
          <w:numId w:val="54"/>
        </w:numPr>
        <w:rPr>
          <w:sz w:val="20"/>
          <w:szCs w:val="20"/>
        </w:rPr>
      </w:pPr>
      <w:r w:rsidRPr="00406785">
        <w:rPr>
          <w:sz w:val="20"/>
          <w:szCs w:val="20"/>
        </w:rPr>
        <w:t>Strength of opposition</w:t>
      </w:r>
      <w:r w:rsidRPr="00406785">
        <w:rPr>
          <w:sz w:val="20"/>
          <w:szCs w:val="20"/>
        </w:rPr>
        <w:br/>
        <w:t>Evidence: Source 3 (consultation launch) quotes UKHospitality CEO welcoming the consultation and citing thousands of venues already switching voluntarily. Source 4 (Gove confirmation) notes overwhelming public support and quotes SAS and Muscular Dystrophy UK — both supportive of the outcome with exemptions. No source documents any organised industry campaign against the ban. Source 12 (Sancroft) shows industry moving early to adapt. The disability access concern (Trailblazers) was the only resistance evidenced, and it focused on implementation rather than opposing the ban.</w:t>
      </w:r>
      <w:r w:rsidRPr="00406785">
        <w:rPr>
          <w:sz w:val="20"/>
          <w:szCs w:val="20"/>
        </w:rPr>
        <w:br/>
        <w:t>Confidence: High — absence of strong opposition is consistently evidenced across all industry-facing and government sources.</w:t>
      </w:r>
      <w:r w:rsidRPr="00406785">
        <w:rPr>
          <w:sz w:val="20"/>
          <w:szCs w:val="20"/>
        </w:rPr>
        <w:br/>
        <w:t>Source Tag: Sources 3, 4, 12.</w:t>
      </w:r>
    </w:p>
    <w:p w14:paraId="6EC604F6" w14:textId="77777777" w:rsidR="00406785" w:rsidRPr="00406785" w:rsidRDefault="00406785" w:rsidP="00406785">
      <w:pPr>
        <w:numPr>
          <w:ilvl w:val="0"/>
          <w:numId w:val="54"/>
        </w:numPr>
        <w:rPr>
          <w:sz w:val="20"/>
          <w:szCs w:val="20"/>
        </w:rPr>
      </w:pPr>
      <w:r w:rsidRPr="00406785">
        <w:rPr>
          <w:sz w:val="20"/>
          <w:szCs w:val="20"/>
        </w:rPr>
        <w:t>Type of opposition</w:t>
      </w:r>
      <w:r w:rsidRPr="00406785">
        <w:rPr>
          <w:sz w:val="20"/>
          <w:szCs w:val="20"/>
        </w:rPr>
        <w:br/>
        <w:t>Evidence: Source 4 (Gove confirmation) quotes Lauren West (Muscular Dystrophy UK Trailblazers): "Plastic straws are sometimes the only type of straw that work for disabled people due to their flexibility and ability to be used in hot and cold drinks." This is the only organised opposition directly evidenced. Source 3 (consultation launch) contains no oppositional industry voice. Source 12 (Sancroft) documents industry adaptation rather than resistance.</w:t>
      </w:r>
      <w:r w:rsidRPr="00406785">
        <w:rPr>
          <w:sz w:val="20"/>
          <w:szCs w:val="20"/>
        </w:rPr>
        <w:br/>
        <w:t>Confidence: High — the type of opposition is directly evidenced in primary government documents; absence of economic/industry opposition is consistently supported across the source set.</w:t>
      </w:r>
      <w:r w:rsidRPr="00406785">
        <w:rPr>
          <w:sz w:val="20"/>
          <w:szCs w:val="20"/>
        </w:rPr>
        <w:br/>
        <w:t>Source Tag: Sources 3, 4, 12.</w:t>
      </w:r>
    </w:p>
    <w:p w14:paraId="3DB942BC" w14:textId="77777777" w:rsidR="00406785" w:rsidRPr="00406785" w:rsidRDefault="00406785" w:rsidP="00406785">
      <w:pPr>
        <w:numPr>
          <w:ilvl w:val="0"/>
          <w:numId w:val="54"/>
        </w:numPr>
        <w:rPr>
          <w:sz w:val="20"/>
          <w:szCs w:val="20"/>
        </w:rPr>
      </w:pPr>
      <w:r w:rsidRPr="00406785">
        <w:rPr>
          <w:sz w:val="20"/>
          <w:szCs w:val="20"/>
        </w:rPr>
        <w:t>Visibility of harm to the public</w:t>
      </w:r>
      <w:r w:rsidRPr="00406785">
        <w:rPr>
          <w:sz w:val="20"/>
          <w:szCs w:val="20"/>
        </w:rPr>
        <w:br/>
        <w:t>Evidence: Source 13 (Rapid Transition Alliance) documents a 100% increase in UK online searches for "dangers of plastic in the ocean" post-Blue Planet II and states that "nearly eight out of ten viewers" said the film made them care more about plastic's impact on the environment. Source 10 (Ipsos/KCL, February 2018) found 7 in 8 UK adults at least fairly concerned about plastic waste. Source 7 (MCS Beachwatch) and Source 8 (Fidra/MCS 2018 Beach Clean) document cotton buds in the top 10 beach litter items for 25 consecutive years, providing specific visible evidence for the named items targeted.</w:t>
      </w:r>
      <w:r w:rsidRPr="00406785">
        <w:rPr>
          <w:sz w:val="20"/>
          <w:szCs w:val="20"/>
        </w:rPr>
        <w:br/>
        <w:t>Confidence: High — multiple independent sources (polling, academic, campaign actor) all evidence high visibility by 2018; the trajectory from 2016 to 2018 is well-documented.</w:t>
      </w:r>
      <w:r w:rsidRPr="00406785">
        <w:rPr>
          <w:sz w:val="20"/>
          <w:szCs w:val="20"/>
        </w:rPr>
        <w:br/>
        <w:t>Source Tag: Sources 7, 8, 10, 13.</w:t>
      </w:r>
    </w:p>
    <w:p w14:paraId="0741F965" w14:textId="77777777" w:rsidR="00406785" w:rsidRPr="00406785" w:rsidRDefault="00406785" w:rsidP="00406785">
      <w:pPr>
        <w:numPr>
          <w:ilvl w:val="0"/>
          <w:numId w:val="54"/>
        </w:numPr>
        <w:rPr>
          <w:sz w:val="20"/>
          <w:szCs w:val="20"/>
        </w:rPr>
      </w:pPr>
      <w:r w:rsidRPr="00406785">
        <w:rPr>
          <w:sz w:val="20"/>
          <w:szCs w:val="20"/>
        </w:rPr>
        <w:lastRenderedPageBreak/>
        <w:t>Degree of behaviour change required</w:t>
      </w:r>
      <w:r w:rsidRPr="00406785">
        <w:rPr>
          <w:sz w:val="20"/>
          <w:szCs w:val="20"/>
        </w:rPr>
        <w:br/>
        <w:t>Evidence: Source 3 (consultation launch) states: "Even though non-plastic alternatives are readily available, these single-use plastic items are used for just a few minutes." Source 4 (Gove confirmation) repeats: "it is estimated that 95% of straws are still plastic" despite alternatives being available — confirming the change was product substitution, not a new behaviour. Source 9 (Resource Futures, The Final Straw) confirmed the feasibility of alternatives. No source documents any deep consumer behaviour change required.</w:t>
      </w:r>
      <w:r w:rsidRPr="00406785">
        <w:rPr>
          <w:sz w:val="20"/>
          <w:szCs w:val="20"/>
        </w:rPr>
        <w:br/>
        <w:t>Confidence: High — all three government sources explicitly frame the change as a product switch with readily available alternatives.</w:t>
      </w:r>
      <w:r w:rsidRPr="00406785">
        <w:rPr>
          <w:sz w:val="20"/>
          <w:szCs w:val="20"/>
        </w:rPr>
        <w:br/>
        <w:t>Source Tag: Sources 3, 4, 9.</w:t>
      </w:r>
    </w:p>
    <w:p w14:paraId="09095C08" w14:textId="77777777" w:rsidR="00406785" w:rsidRPr="00406785" w:rsidRDefault="00406785" w:rsidP="00406785">
      <w:pPr>
        <w:numPr>
          <w:ilvl w:val="0"/>
          <w:numId w:val="54"/>
        </w:numPr>
        <w:rPr>
          <w:sz w:val="20"/>
          <w:szCs w:val="20"/>
        </w:rPr>
      </w:pPr>
      <w:r w:rsidRPr="00406785">
        <w:rPr>
          <w:sz w:val="20"/>
          <w:szCs w:val="20"/>
        </w:rPr>
        <w:t>Role of policy vs market pressure vs cultural shift</w:t>
      </w:r>
      <w:r w:rsidRPr="00406785">
        <w:rPr>
          <w:sz w:val="20"/>
          <w:szCs w:val="20"/>
        </w:rPr>
        <w:br/>
        <w:t>Evidence: Source 5 (Eustice commencement) confirms the legislative ban as the ultimate mechanism. Source 13 (Rapid Transition Alliance) documents the cultural shift (Blue Planet II behaviour change, 162,000 Treasury responses, corporate Plastic Pact commitments) running concurrently. Source 12 (Sancroft) documents market movement (Starbucks, Costa, Pret adapting) preceding the ban. All three tracks are evidenced; the locked outcome was legislative.</w:t>
      </w:r>
      <w:r w:rsidRPr="00406785">
        <w:rPr>
          <w:sz w:val="20"/>
          <w:szCs w:val="20"/>
        </w:rPr>
        <w:br/>
        <w:t>Confidence: High — all three mechanisms are independently evidenced across multiple sources.</w:t>
      </w:r>
      <w:r w:rsidRPr="00406785">
        <w:rPr>
          <w:sz w:val="20"/>
          <w:szCs w:val="20"/>
        </w:rPr>
        <w:br/>
        <w:t>Source Tag: Sources 5, 12, 13.</w:t>
      </w:r>
    </w:p>
    <w:p w14:paraId="471C4532" w14:textId="77777777" w:rsidR="00406785" w:rsidRPr="00406785" w:rsidRDefault="00406785" w:rsidP="00406785">
      <w:pPr>
        <w:numPr>
          <w:ilvl w:val="0"/>
          <w:numId w:val="54"/>
        </w:numPr>
        <w:rPr>
          <w:sz w:val="20"/>
          <w:szCs w:val="20"/>
        </w:rPr>
      </w:pPr>
      <w:r w:rsidRPr="00406785">
        <w:rPr>
          <w:sz w:val="20"/>
          <w:szCs w:val="20"/>
        </w:rPr>
        <w:t>Coalition size, type, and presence of non-obvious allies</w:t>
      </w:r>
      <w:r w:rsidRPr="00406785">
        <w:rPr>
          <w:sz w:val="20"/>
          <w:szCs w:val="20"/>
        </w:rPr>
        <w:br/>
        <w:t>Evidence: Source 6 (SAS Campaign Win) documents SAS as a core campaign actor. Source 8 (Fidra/MCS) documents MCS and Fidra's Cotton Bud Project as sustained campaigners. Source 3 (consultation launch) quotes Greenpeace UK and UKHospitality positively — UKHospitality being a non-obvious industry ally. Source 13 (Rapid Transition Alliance) documents 162,000 Treasury consultation responses and corporate signatories to the Plastic Pact (68 companies including Coca-Cola) as the wider coalition. The BBC/Attenborough as cultural allies is evidenced in Sources 12 and 13.</w:t>
      </w:r>
      <w:r w:rsidRPr="00406785">
        <w:rPr>
          <w:sz w:val="20"/>
          <w:szCs w:val="20"/>
        </w:rPr>
        <w:br/>
        <w:t>Confidence: Medium — coalition breadth is evidenced across multiple sources but specific coordination mechanisms between NGO actors are not documented in detail; the 162,000 figure is documented but the organising infrastructure behind it is not fully evidenced in the locked set.</w:t>
      </w:r>
      <w:r w:rsidRPr="00406785">
        <w:rPr>
          <w:sz w:val="20"/>
          <w:szCs w:val="20"/>
        </w:rPr>
        <w:br/>
        <w:t>Source Tag: Sources 3, 6, 8, 12, 13.</w:t>
      </w:r>
    </w:p>
    <w:p w14:paraId="22976209" w14:textId="77777777" w:rsidR="00406785" w:rsidRPr="00406785" w:rsidRDefault="00406785" w:rsidP="00406785">
      <w:pPr>
        <w:numPr>
          <w:ilvl w:val="0"/>
          <w:numId w:val="54"/>
        </w:numPr>
        <w:rPr>
          <w:sz w:val="20"/>
          <w:szCs w:val="20"/>
        </w:rPr>
      </w:pPr>
      <w:r w:rsidRPr="00406785">
        <w:rPr>
          <w:sz w:val="20"/>
          <w:szCs w:val="20"/>
        </w:rPr>
        <w:t>Economic disruption required</w:t>
      </w:r>
      <w:r w:rsidRPr="00406785">
        <w:rPr>
          <w:sz w:val="20"/>
          <w:szCs w:val="20"/>
        </w:rPr>
        <w:br/>
        <w:t>Evidence: Source 3 (consultation launch) and Source 4 (Gove confirmation) both state that non-plastic alternatives are "readily available." Source 12 (Sancroft) documents industry voluntarily switching (Starbucks, Costa, Veolia, DS Smith) before any ban, confirming low disruption. Source 3 quotes UKHospitality stating thousands of venues had already changed by the consultation stage. No source documents significant economic harm to any sector.</w:t>
      </w:r>
      <w:r w:rsidRPr="00406785">
        <w:rPr>
          <w:sz w:val="20"/>
          <w:szCs w:val="20"/>
        </w:rPr>
        <w:br/>
        <w:t>Confidence: High — multiple government and industry-facing sources consistently evidence low economic disruption.</w:t>
      </w:r>
      <w:r w:rsidRPr="00406785">
        <w:rPr>
          <w:sz w:val="20"/>
          <w:szCs w:val="20"/>
        </w:rPr>
        <w:br/>
        <w:t>Source Tag: Sources 3, 4, 12.</w:t>
      </w:r>
    </w:p>
    <w:p w14:paraId="2498C910" w14:textId="77777777" w:rsidR="00406785" w:rsidRPr="00406785" w:rsidRDefault="00406785" w:rsidP="00406785">
      <w:pPr>
        <w:numPr>
          <w:ilvl w:val="0"/>
          <w:numId w:val="54"/>
        </w:numPr>
        <w:rPr>
          <w:sz w:val="20"/>
          <w:szCs w:val="20"/>
        </w:rPr>
      </w:pPr>
      <w:r w:rsidRPr="00406785">
        <w:rPr>
          <w:sz w:val="20"/>
          <w:szCs w:val="20"/>
        </w:rPr>
        <w:t>Speed of change achieved</w:t>
      </w:r>
      <w:r w:rsidRPr="00406785">
        <w:rPr>
          <w:sz w:val="20"/>
          <w:szCs w:val="20"/>
        </w:rPr>
        <w:br/>
        <w:t>Evidence: Source 1 (Ellen MacArthur Foundation, January 2016) marks the window open. Source 3 (GOV.UK, October 2018) marks the consultation launch — 2 years and 9 months into the window. Source 4 (GOV.UK, May 2019) confirms the ban 7 months after consultation. Source 5 (GOV.UK, 1 October 2020) marks commencement — the 6-month COVID delay from the original April 2020 date is confirmed in the web search result from the Defra blog (16 April 2020). Total: 4 years and 9 months window open to commencement; 12 months consultation to commencement.</w:t>
      </w:r>
      <w:r w:rsidRPr="00406785">
        <w:rPr>
          <w:sz w:val="20"/>
          <w:szCs w:val="20"/>
        </w:rPr>
        <w:br/>
        <w:t>Confidence: High — all key dates precisely evidenced in primary government documents.</w:t>
      </w:r>
      <w:r w:rsidRPr="00406785">
        <w:rPr>
          <w:sz w:val="20"/>
          <w:szCs w:val="20"/>
        </w:rPr>
        <w:br/>
        <w:t>Source Tag: Sources 1, 3, 4, 5.</w:t>
      </w:r>
    </w:p>
    <w:p w14:paraId="146643D5" w14:textId="77777777" w:rsidR="00406785" w:rsidRPr="00406785" w:rsidRDefault="00406785" w:rsidP="00406785">
      <w:pPr>
        <w:numPr>
          <w:ilvl w:val="0"/>
          <w:numId w:val="54"/>
        </w:numPr>
        <w:rPr>
          <w:sz w:val="20"/>
          <w:szCs w:val="20"/>
        </w:rPr>
      </w:pPr>
      <w:r w:rsidRPr="00406785">
        <w:rPr>
          <w:sz w:val="20"/>
          <w:szCs w:val="20"/>
        </w:rPr>
        <w:t>Scale of change achieved</w:t>
      </w:r>
      <w:r w:rsidRPr="00406785">
        <w:rPr>
          <w:sz w:val="20"/>
          <w:szCs w:val="20"/>
        </w:rPr>
        <w:br/>
        <w:t xml:space="preserve">Evidence: Source 5 (Eustice commencement, 1 October 2020) confirms the ban in force in England covering all three named items. Source 5 quotes MCS: cotton bud sticks on English beaches dropped from 31 per 100m (2017) to 8 per 100m (2019), partially reflecting pre-ban industry switching. Source 4 (Gove confirmation) confirms disability exemptions. Source 13 (Rapid Transition Alliance) notes the parallel EU single-use plastics ban covering </w:t>
      </w:r>
      <w:r w:rsidRPr="00406785">
        <w:rPr>
          <w:sz w:val="20"/>
          <w:szCs w:val="20"/>
        </w:rPr>
        <w:lastRenderedPageBreak/>
        <w:t>the same items at European scale.</w:t>
      </w:r>
      <w:r w:rsidRPr="00406785">
        <w:rPr>
          <w:sz w:val="20"/>
          <w:szCs w:val="20"/>
        </w:rPr>
        <w:br/>
        <w:t>Confidence: High — the scope and limits of the win are directly evidenced in primary government and MCS sources.</w:t>
      </w:r>
      <w:r w:rsidRPr="00406785">
        <w:rPr>
          <w:sz w:val="20"/>
          <w:szCs w:val="20"/>
        </w:rPr>
        <w:br/>
        <w:t>Source Tag: Sources 4, 5, 13.</w:t>
      </w:r>
    </w:p>
    <w:p w14:paraId="3244EDC3" w14:textId="77777777" w:rsidR="00406785" w:rsidRPr="00406785" w:rsidRDefault="00406785" w:rsidP="00406785">
      <w:pPr>
        <w:numPr>
          <w:ilvl w:val="0"/>
          <w:numId w:val="54"/>
        </w:numPr>
        <w:rPr>
          <w:sz w:val="20"/>
          <w:szCs w:val="20"/>
        </w:rPr>
      </w:pPr>
      <w:r w:rsidRPr="00406785">
        <w:rPr>
          <w:sz w:val="20"/>
          <w:szCs w:val="20"/>
        </w:rPr>
        <w:t>Public sentiment starting point</w:t>
      </w:r>
      <w:r w:rsidRPr="00406785">
        <w:rPr>
          <w:sz w:val="20"/>
          <w:szCs w:val="20"/>
        </w:rPr>
        <w:br/>
        <w:t>Evidence: Source 10 (Ipsos/KCL, February 2018) found 7 in 8 UK adults (87.5%) at least fairly concerned about plastic waste, conducted for King's College London with 1,681 respondents, 23–27 February 2018. Source 11 (YouGov, May 2018) found 77% support banning plastic drinking straws and 70% support banning cotton buds, across 17 single-use plastic items tested. Source 13 (Rapid Transition Alliance) documents 162,000 responses to the Treasury call for evidence — the largest Treasury response on any issue. Source 1 (Ellen MacArthur Foundation, January 2016) predates the Blue Planet II surge, confirming that the pre-2017 period was awareness-building rather than active public pressure.</w:t>
      </w:r>
      <w:r w:rsidRPr="00406785">
        <w:rPr>
          <w:sz w:val="20"/>
          <w:szCs w:val="20"/>
        </w:rPr>
        <w:br/>
        <w:t>Confidence: High — two independent polling sources (Ipsos and YouGov) provide directly relevant pre-ban sentiment data with methodology noted; the pre-2017 latent sentiment is inferrable from the contrast with the post-Blue Planet II surge.</w:t>
      </w:r>
      <w:r w:rsidRPr="00406785">
        <w:rPr>
          <w:sz w:val="20"/>
          <w:szCs w:val="20"/>
        </w:rPr>
        <w:br/>
        <w:t>Source Tag: Sources 1, 10, 11, 13.</w:t>
      </w:r>
    </w:p>
    <w:p w14:paraId="19623233" w14:textId="77777777" w:rsidR="00406785" w:rsidRPr="00406785" w:rsidRDefault="00406785" w:rsidP="00406785">
      <w:pPr>
        <w:numPr>
          <w:ilvl w:val="0"/>
          <w:numId w:val="54"/>
        </w:numPr>
        <w:rPr>
          <w:sz w:val="20"/>
          <w:szCs w:val="20"/>
        </w:rPr>
      </w:pPr>
      <w:r w:rsidRPr="00406785">
        <w:rPr>
          <w:sz w:val="20"/>
          <w:szCs w:val="20"/>
        </w:rPr>
        <w:t>Legal/regulatory landscape</w:t>
      </w:r>
      <w:r w:rsidRPr="00406785">
        <w:rPr>
          <w:sz w:val="20"/>
          <w:szCs w:val="20"/>
        </w:rPr>
        <w:br/>
        <w:t>Evidence: Source 2 (GOV.UK, microbeads ban, 9 January 2018) directly establishes UK legislative precedent for banning specific plastic items via the same regulatory authority, described as "one of the world's toughest bans." Source 1 (Ellen MacArthur Foundation, January 2016) — Phase 1 exception used here — establishes that the pre-campaign legal terrain had no blocking legislation and that the circular economy framing was entering policy discourse. Source 3 (consultation launch) references the 25 Year Environment Plan as the overarching mandate. No source evidences any legal challenge to the ban.</w:t>
      </w:r>
      <w:r w:rsidRPr="00406785">
        <w:rPr>
          <w:sz w:val="20"/>
          <w:szCs w:val="20"/>
        </w:rPr>
        <w:br/>
        <w:t>Confidence: High — precedent and authority are directly evidenced; Phase 1 exception (Source 1) used for legal landscape only, as it establishes the pre-window regulatory context that shaped what levers were available.</w:t>
      </w:r>
      <w:r w:rsidRPr="00406785">
        <w:rPr>
          <w:sz w:val="20"/>
          <w:szCs w:val="20"/>
        </w:rPr>
        <w:br/>
        <w:t>Phase 1 exception flag: Source 1 (Ellen MacArthur Foundation, January 2016) used for this variable only, to establish the pre-window legal/policy terrain. In-window sources (2–5) alone are sufficient for the regulatory path but not for the enabling pre-window context.</w:t>
      </w:r>
      <w:r w:rsidRPr="00406785">
        <w:rPr>
          <w:sz w:val="20"/>
          <w:szCs w:val="20"/>
        </w:rPr>
        <w:br/>
        <w:t>Source Tag: Sources 1 (Phase 1 exception), 2, 3.</w:t>
      </w:r>
    </w:p>
    <w:p w14:paraId="672C98A1" w14:textId="77777777" w:rsidR="00406785" w:rsidRPr="00406785" w:rsidRDefault="00406785" w:rsidP="00406785">
      <w:pPr>
        <w:numPr>
          <w:ilvl w:val="0"/>
          <w:numId w:val="54"/>
        </w:numPr>
        <w:rPr>
          <w:sz w:val="20"/>
          <w:szCs w:val="20"/>
        </w:rPr>
      </w:pPr>
      <w:r w:rsidRPr="00406785">
        <w:rPr>
          <w:sz w:val="20"/>
          <w:szCs w:val="20"/>
        </w:rPr>
        <w:t>Narrative dominance</w:t>
      </w:r>
      <w:r w:rsidRPr="00406785">
        <w:rPr>
          <w:sz w:val="20"/>
          <w:szCs w:val="20"/>
        </w:rPr>
        <w:br/>
        <w:t>Evidence: Source 1 (Ellen MacArthur Foundation, January 2016) — Phase 1 exception — establishes that the "plastics never become waste" / circular economy framing entered mainstream policy discourse at the window open, with no competing industry narrative to defend single-use plastics. Source 13 (Rapid Transition Alliance) documents that the "throwaway plastic destroying marine life" framing went unchallenged as a problem description; it notes the "Blue Planet effect" was "acknowledged by the UK Minister of Environment, Michael Gove" as a direct driver of policy. Source 12 (Sancroft) confirms no industry counter-narrative defending plastic straws as necessary.</w:t>
      </w:r>
      <w:r w:rsidRPr="00406785">
        <w:rPr>
          <w:sz w:val="20"/>
          <w:szCs w:val="20"/>
        </w:rPr>
        <w:br/>
        <w:t>Confidence: High — absence of opposition narrative dominance is consistently evidenced; the campaign's framing dominance is confirmed by government ministers themselves.</w:t>
      </w:r>
      <w:r w:rsidRPr="00406785">
        <w:rPr>
          <w:sz w:val="20"/>
          <w:szCs w:val="20"/>
        </w:rPr>
        <w:br/>
        <w:t>Phase 1 exception flag: Source 1 used here to establish narrative terrain at window open. In-window sources alone (12, 13) are sufficient for the in-window period but Source 1 establishes the pre-existing framing the campaign built upon.</w:t>
      </w:r>
      <w:r w:rsidRPr="00406785">
        <w:rPr>
          <w:sz w:val="20"/>
          <w:szCs w:val="20"/>
        </w:rPr>
        <w:br/>
        <w:t>Source Tag: Sources 1 (Phase 1 exception), 12, 13.</w:t>
      </w:r>
    </w:p>
    <w:p w14:paraId="34E84AFB" w14:textId="77777777" w:rsidR="00406785" w:rsidRPr="00406785" w:rsidRDefault="00406785" w:rsidP="00406785">
      <w:pPr>
        <w:numPr>
          <w:ilvl w:val="0"/>
          <w:numId w:val="54"/>
        </w:numPr>
        <w:rPr>
          <w:sz w:val="20"/>
          <w:szCs w:val="20"/>
        </w:rPr>
      </w:pPr>
      <w:r w:rsidRPr="00406785">
        <w:rPr>
          <w:sz w:val="20"/>
          <w:szCs w:val="20"/>
        </w:rPr>
        <w:t>Notable Tactics</w:t>
      </w:r>
    </w:p>
    <w:p w14:paraId="4E9147A4" w14:textId="77777777" w:rsidR="00406785" w:rsidRPr="00406785" w:rsidRDefault="00406785" w:rsidP="00406785">
      <w:pPr>
        <w:rPr>
          <w:sz w:val="20"/>
          <w:szCs w:val="20"/>
        </w:rPr>
      </w:pPr>
      <w:r w:rsidRPr="00406785">
        <w:rPr>
          <w:sz w:val="20"/>
          <w:szCs w:val="20"/>
        </w:rPr>
        <w:t>a. Beach clean data as systematic evidence base</w:t>
      </w:r>
      <w:r w:rsidRPr="00406785">
        <w:rPr>
          <w:sz w:val="20"/>
          <w:szCs w:val="20"/>
        </w:rPr>
        <w:br/>
        <w:t>Evidence: Source 7 (MCS Beachwatch) documents 25+ years of annual beach clean surveys establishing cotton buds and straws as named top-10 litter items. Source 8 (Fidra/MCS, November 2018) explicitly states that "using MCS data, the Cotton Bud Project highlighted to industry the widespread issue and provided clear science-based supporting evidence" for the Scottish consultation, and that "this evidence-based engagement with major cotton bud retailers and manufacturers persuaded industry to change from plastic to paper." Source 5 (Eustice commencement) quotes MCS data (31 per 100m in 2017, 8 per 100m in 2019 on English beaches) as the measure of impact.</w:t>
      </w:r>
      <w:r w:rsidRPr="00406785">
        <w:rPr>
          <w:sz w:val="20"/>
          <w:szCs w:val="20"/>
        </w:rPr>
        <w:br/>
      </w:r>
      <w:r w:rsidRPr="00406785">
        <w:rPr>
          <w:sz w:val="20"/>
          <w:szCs w:val="20"/>
        </w:rPr>
        <w:lastRenderedPageBreak/>
        <w:t>Confidence: High — the tactic and its mechanism are directly documented in two independent MCS-related sources and confirmed in the primary government commencement press release.</w:t>
      </w:r>
      <w:r w:rsidRPr="00406785">
        <w:rPr>
          <w:sz w:val="20"/>
          <w:szCs w:val="20"/>
        </w:rPr>
        <w:br/>
        <w:t>Source Tag: Sources 5, 7, 8.</w:t>
      </w:r>
    </w:p>
    <w:p w14:paraId="36762ADB" w14:textId="77777777" w:rsidR="00406785" w:rsidRPr="00406785" w:rsidRDefault="00406785" w:rsidP="00406785">
      <w:pPr>
        <w:rPr>
          <w:sz w:val="20"/>
          <w:szCs w:val="20"/>
        </w:rPr>
      </w:pPr>
      <w:r w:rsidRPr="00406785">
        <w:rPr>
          <w:sz w:val="20"/>
          <w:szCs w:val="20"/>
        </w:rPr>
        <w:t>b. Consultation mobilisation at scale</w:t>
      </w:r>
      <w:r w:rsidRPr="00406785">
        <w:rPr>
          <w:sz w:val="20"/>
          <w:szCs w:val="20"/>
        </w:rPr>
        <w:br/>
        <w:t>Evidence: Source 13 (Rapid Transition Alliance) states: "There were 162,000 individual responses to the UK Treasury's call for evidence on plastic pollution in 2018, the largest response from the public ever received by the Treasury on any issue." Source 12 (Sancroft) corroborates: "HM Treasury's recent report — 'Tackling the plastics problem: summary of responses to the call to evidence' received the largest level of responses in the Treasury's history — 162,000." Source 4 (Gove confirmation) explicitly states the ban followed "overwhelming public support" and that "over 80% of respondents back a ban."</w:t>
      </w:r>
      <w:r w:rsidRPr="00406785">
        <w:rPr>
          <w:sz w:val="20"/>
          <w:szCs w:val="20"/>
        </w:rPr>
        <w:br/>
        <w:t>Confidence: High — the figure and its significance are independently documented in two non-government sources and confirmed in the primary government announcement.</w:t>
      </w:r>
      <w:r w:rsidRPr="00406785">
        <w:rPr>
          <w:sz w:val="20"/>
          <w:szCs w:val="20"/>
        </w:rPr>
        <w:br/>
        <w:t>Source Tag: Sources 4, 12, 13.</w:t>
      </w:r>
    </w:p>
    <w:p w14:paraId="6E56E9F3" w14:textId="77777777" w:rsidR="00406785" w:rsidRPr="00406785" w:rsidRDefault="00406785" w:rsidP="00406785">
      <w:pPr>
        <w:rPr>
          <w:sz w:val="20"/>
          <w:szCs w:val="20"/>
        </w:rPr>
      </w:pPr>
      <w:r w:rsidRPr="00406785">
        <w:rPr>
          <w:sz w:val="20"/>
          <w:szCs w:val="20"/>
        </w:rPr>
        <w:t>c. Disability exemption negotiation as blocking-coalition conversion</w:t>
      </w:r>
      <w:r w:rsidRPr="00406785">
        <w:rPr>
          <w:sz w:val="20"/>
          <w:szCs w:val="20"/>
        </w:rPr>
        <w:br/>
        <w:t>Evidence: Source 4 (Gove confirmation) quotes Lauren West (Muscular Dystrophy UK Trailblazers) welcoming the exemption design: "We're pleased the Government has recognised this in its proposals put forward today." The exemption design (pharmacy sales, on-request at hospitality venues) is detailed in the same source. Source 3 (consultation launch) pre-empts this by noting the consultation "seeks views on how to ensure those who need straws for medical and accessibility reasons can still use them," confirming the exemption negotiation was built into the process from the start.</w:t>
      </w:r>
      <w:r w:rsidRPr="00406785">
        <w:rPr>
          <w:sz w:val="20"/>
          <w:szCs w:val="20"/>
        </w:rPr>
        <w:br/>
        <w:t>Confidence: High — the tactic and its outcome are directly evidenced in two sequential primary government documents.</w:t>
      </w:r>
      <w:r w:rsidRPr="00406785">
        <w:rPr>
          <w:sz w:val="20"/>
          <w:szCs w:val="20"/>
        </w:rPr>
        <w:br/>
        <w:t>Source Tag: Sources 3, 4.</w:t>
      </w:r>
    </w:p>
    <w:p w14:paraId="1759F9AE" w14:textId="77777777" w:rsidR="00406785" w:rsidRPr="00406785" w:rsidRDefault="00406785" w:rsidP="00406785">
      <w:pPr>
        <w:rPr>
          <w:sz w:val="20"/>
          <w:szCs w:val="20"/>
        </w:rPr>
      </w:pPr>
      <w:r w:rsidRPr="00406785">
        <w:rPr>
          <w:sz w:val="20"/>
          <w:szCs w:val="20"/>
        </w:rPr>
        <w:t>d. Industry voluntary switching as proof-of-concept</w:t>
      </w:r>
      <w:r w:rsidRPr="00406785">
        <w:rPr>
          <w:sz w:val="20"/>
          <w:szCs w:val="20"/>
        </w:rPr>
        <w:br/>
        <w:t>Evidence: Source 3 (consultation launch) quotes UKHospitality CEO: "Since UKHospitality's Unpack the Future of Hospitality summit in the spring, thousands of pubs, clubs, restaurants and hotels across the UK have changed their straws and stirrers to biodegradables, or adopted policies that cut or eliminate their use." Source 12 (Sancroft) documents individual corporate switches (Starbucks, Costa, Pret, Veolia, DS Smith) with specific figures, establishing that the feasibility objection was removed before the ban was legislated.</w:t>
      </w:r>
      <w:r w:rsidRPr="00406785">
        <w:rPr>
          <w:sz w:val="20"/>
          <w:szCs w:val="20"/>
        </w:rPr>
        <w:br/>
        <w:t>Confidence: High — industry switching before ban confirmation is directly documented in both an industry body source (via government press release) and an independent sustainability consultancy analysis.</w:t>
      </w:r>
      <w:r w:rsidRPr="00406785">
        <w:rPr>
          <w:sz w:val="20"/>
          <w:szCs w:val="20"/>
        </w:rPr>
        <w:br/>
        <w:t>Source Tag: Sources 3, 12.</w:t>
      </w:r>
    </w:p>
    <w:p w14:paraId="71CC38FD" w14:textId="77777777" w:rsidR="00406785" w:rsidRPr="00406785" w:rsidRDefault="00406785" w:rsidP="00406785">
      <w:pPr>
        <w:rPr>
          <w:sz w:val="20"/>
          <w:szCs w:val="20"/>
        </w:rPr>
      </w:pPr>
      <w:r w:rsidRPr="00406785">
        <w:rPr>
          <w:sz w:val="20"/>
          <w:szCs w:val="20"/>
        </w:rPr>
        <w:t>e. Emotional documentary framing as policy accelerant</w:t>
      </w:r>
      <w:r w:rsidRPr="00406785">
        <w:rPr>
          <w:sz w:val="20"/>
          <w:szCs w:val="20"/>
        </w:rPr>
        <w:br/>
        <w:t>Evidence: Source 13 (Rapid Transition Alliance) documents: 100% increase in searches for "dangers of plastic in the ocean" post-Blue Planet II; 88% of UK viewers said they changed their behaviour after watching; the BBC set up a plastics action website linking to specific items including straws; the "Blue Planet effect" was "acknowledged by the UK Minister of Environment, Michael Gove" as having "a direct effect on national and international environment policy making." Source 12 (Sancroft) corroborates the shift: "almost one year ago, it suddenly became a key focal point across society."</w:t>
      </w:r>
      <w:r w:rsidRPr="00406785">
        <w:rPr>
          <w:sz w:val="20"/>
          <w:szCs w:val="20"/>
        </w:rPr>
        <w:br/>
        <w:t>Confidence: High — the mechanism (documentary to behaviour change to policy attention) is documented with quantified evidence and ministerial acknowledgment in two independent sources.</w:t>
      </w:r>
      <w:r w:rsidRPr="00406785">
        <w:rPr>
          <w:sz w:val="20"/>
          <w:szCs w:val="20"/>
        </w:rPr>
        <w:br/>
        <w:t>Source Tag: Sources 12, 13.</w:t>
      </w:r>
    </w:p>
    <w:p w14:paraId="42B32544" w14:textId="77777777" w:rsidR="00406785" w:rsidRPr="00406785" w:rsidRDefault="00641196" w:rsidP="00406785">
      <w:pPr>
        <w:rPr>
          <w:sz w:val="20"/>
          <w:szCs w:val="20"/>
        </w:rPr>
      </w:pPr>
      <w:r>
        <w:rPr>
          <w:sz w:val="20"/>
          <w:szCs w:val="20"/>
        </w:rPr>
        <w:pict w14:anchorId="0FD03EBF">
          <v:rect id="_x0000_i1053" style="width:0;height:1.5pt" o:hralign="center" o:hrstd="t" o:hr="t" fillcolor="#a0a0a0" stroked="f"/>
        </w:pict>
      </w:r>
    </w:p>
    <w:p w14:paraId="6DA97625" w14:textId="77777777" w:rsidR="00406785" w:rsidRPr="00406785" w:rsidRDefault="00406785" w:rsidP="00406785">
      <w:pPr>
        <w:rPr>
          <w:sz w:val="20"/>
          <w:szCs w:val="20"/>
        </w:rPr>
      </w:pPr>
      <w:r w:rsidRPr="00406785">
        <w:rPr>
          <w:b/>
          <w:bCs/>
          <w:sz w:val="20"/>
          <w:szCs w:val="20"/>
        </w:rPr>
        <w:t>SOURCE-TO-VARIABLE MAPPING</w:t>
      </w:r>
    </w:p>
    <w:p w14:paraId="19265E7B" w14:textId="77777777" w:rsidR="00406785" w:rsidRPr="00406785" w:rsidRDefault="00406785" w:rsidP="00406785">
      <w:pPr>
        <w:rPr>
          <w:sz w:val="20"/>
          <w:szCs w:val="20"/>
        </w:rPr>
      </w:pPr>
      <w:r w:rsidRPr="00406785">
        <w:rPr>
          <w:sz w:val="20"/>
          <w:szCs w:val="20"/>
        </w:rPr>
        <w:t>Source 1 (Ellen MacArthur Foundation, New Plastics Economy, 2016) — 10, 12, 13 (Phase 1 exception), 14 (Phase 1 exception)</w:t>
      </w:r>
      <w:r w:rsidRPr="00406785">
        <w:rPr>
          <w:sz w:val="20"/>
          <w:szCs w:val="20"/>
        </w:rPr>
        <w:br/>
        <w:t>Source 2 (GOV.UK, microbeads ban, 2018) — 13</w:t>
      </w:r>
      <w:r w:rsidRPr="00406785">
        <w:rPr>
          <w:sz w:val="20"/>
          <w:szCs w:val="20"/>
        </w:rPr>
        <w:br/>
        <w:t>Source 3 (GOV.UK, consultation launch, October 2018) — 1, 2, 3, 4, 6, 8, 9, 15b, 15c, 15d</w:t>
      </w:r>
      <w:r w:rsidRPr="00406785">
        <w:rPr>
          <w:sz w:val="20"/>
          <w:szCs w:val="20"/>
        </w:rPr>
        <w:br/>
        <w:t>Source 4 (GOV.UK, Gove confirmation, May 2019) — 1, 2, 3, 4, 6, 9, 10, 11, 15b, 15c, 15d</w:t>
      </w:r>
      <w:r w:rsidRPr="00406785">
        <w:rPr>
          <w:sz w:val="20"/>
          <w:szCs w:val="20"/>
        </w:rPr>
        <w:br/>
        <w:t>Source 5 (GOV.UK, Eustice commencement, October 2020) — 1, 2, 7, 10, 11, 15a</w:t>
      </w:r>
      <w:r w:rsidRPr="00406785">
        <w:rPr>
          <w:sz w:val="20"/>
          <w:szCs w:val="20"/>
        </w:rPr>
        <w:br/>
        <w:t>Source 6 (Surfers Against Sewage, Campaign Win) — 1, 3, 8</w:t>
      </w:r>
      <w:r w:rsidRPr="00406785">
        <w:rPr>
          <w:sz w:val="20"/>
          <w:szCs w:val="20"/>
        </w:rPr>
        <w:br/>
        <w:t>Source 7 (MCS Beachwatch reports) — 5, 15a</w:t>
      </w:r>
      <w:r w:rsidRPr="00406785">
        <w:rPr>
          <w:sz w:val="20"/>
          <w:szCs w:val="20"/>
        </w:rPr>
        <w:br/>
        <w:t>Source 8 (Fidra/MCS, Beach Clean, November 2018) — 5, 8, 15a</w:t>
      </w:r>
      <w:r w:rsidRPr="00406785">
        <w:rPr>
          <w:sz w:val="20"/>
          <w:szCs w:val="20"/>
        </w:rPr>
        <w:br/>
      </w:r>
      <w:r w:rsidRPr="00406785">
        <w:rPr>
          <w:sz w:val="20"/>
          <w:szCs w:val="20"/>
        </w:rPr>
        <w:lastRenderedPageBreak/>
        <w:t>Source 9 (Resource Futures, The Final Straw) — 6</w:t>
      </w:r>
      <w:r w:rsidRPr="00406785">
        <w:rPr>
          <w:sz w:val="20"/>
          <w:szCs w:val="20"/>
        </w:rPr>
        <w:br/>
        <w:t>Source 10 (Ipsos/KCL, February 2018) — 5, 12</w:t>
      </w:r>
      <w:r w:rsidRPr="00406785">
        <w:rPr>
          <w:sz w:val="20"/>
          <w:szCs w:val="20"/>
        </w:rPr>
        <w:br/>
        <w:t>Source 11 (YouGov, May 2018) — 12</w:t>
      </w:r>
      <w:r w:rsidRPr="00406785">
        <w:rPr>
          <w:sz w:val="20"/>
          <w:szCs w:val="20"/>
        </w:rPr>
        <w:br/>
        <w:t>Source 12 (Sancroft, One year on from Blue Planet II, September 2018) — 3, 4, 7, 9, 14, 15d, 15e</w:t>
      </w:r>
      <w:r w:rsidRPr="00406785">
        <w:rPr>
          <w:sz w:val="20"/>
          <w:szCs w:val="20"/>
        </w:rPr>
        <w:br/>
        <w:t>Source 13 (Rapid Transition Alliance, Attenborough effect, May 2019) — 5, 7, 8, 11, 12, 13, 14, 15b, 15e</w:t>
      </w:r>
    </w:p>
    <w:p w14:paraId="70036408" w14:textId="77777777" w:rsidR="00406785" w:rsidRPr="00406785" w:rsidRDefault="00641196" w:rsidP="00406785">
      <w:pPr>
        <w:rPr>
          <w:sz w:val="20"/>
          <w:szCs w:val="20"/>
        </w:rPr>
      </w:pPr>
      <w:r>
        <w:rPr>
          <w:sz w:val="20"/>
          <w:szCs w:val="20"/>
        </w:rPr>
        <w:pict w14:anchorId="4303EF44">
          <v:rect id="_x0000_i1054" style="width:0;height:1.5pt" o:hralign="center" o:hrstd="t" o:hr="t" fillcolor="#a0a0a0" stroked="f"/>
        </w:pict>
      </w:r>
    </w:p>
    <w:p w14:paraId="4D216E75" w14:textId="77777777" w:rsidR="00406785" w:rsidRPr="00406785" w:rsidRDefault="00406785" w:rsidP="00406785">
      <w:pPr>
        <w:rPr>
          <w:sz w:val="20"/>
          <w:szCs w:val="20"/>
        </w:rPr>
      </w:pPr>
      <w:r w:rsidRPr="00406785">
        <w:rPr>
          <w:b/>
          <w:bCs/>
          <w:sz w:val="20"/>
          <w:szCs w:val="20"/>
        </w:rPr>
        <w:t>OBSERVATION</w:t>
      </w:r>
      <w:r w:rsidRPr="00406785">
        <w:rPr>
          <w:sz w:val="20"/>
          <w:szCs w:val="20"/>
        </w:rPr>
        <w:br/>
        <w:t>Evidence is well distributed across all 13 sources, with Sources 3, 4, and 5 (the three sequential GOV.UK press releases) doing the heaviest work across variables 1–6 and 9–11, which is structurally appropriate given these are primary legislative documents for a government-target campaign. Source 13 (Rapid Transition Alliance) is the most cross-variable source in the non-government set, contributing to 9 variables; it is corroborated on all key claims by independent sources (Ipsos, YouGov, Sancroft, GOV.UK). Source 9 (Resource Futures) is the least utilised, contributing to Variable 6 only; it may contain additional evidence for tactics that was not fully captured in earlier fetch sessions.</w:t>
      </w:r>
    </w:p>
    <w:p w14:paraId="1697598B" w14:textId="77777777" w:rsidR="00406785" w:rsidRPr="00406785" w:rsidRDefault="00641196" w:rsidP="00406785">
      <w:pPr>
        <w:rPr>
          <w:sz w:val="20"/>
          <w:szCs w:val="20"/>
        </w:rPr>
      </w:pPr>
      <w:r>
        <w:rPr>
          <w:sz w:val="20"/>
          <w:szCs w:val="20"/>
        </w:rPr>
        <w:pict w14:anchorId="08FEE14B">
          <v:rect id="_x0000_i1055" style="width:0;height:1.5pt" o:hralign="center" o:hrstd="t" o:hr="t" fillcolor="#a0a0a0" stroked="f"/>
        </w:pict>
      </w:r>
    </w:p>
    <w:p w14:paraId="4752F792" w14:textId="77777777" w:rsidR="00406785" w:rsidRPr="00406785" w:rsidRDefault="00406785" w:rsidP="00406785">
      <w:pPr>
        <w:rPr>
          <w:sz w:val="20"/>
          <w:szCs w:val="20"/>
        </w:rPr>
      </w:pPr>
      <w:r w:rsidRPr="00406785">
        <w:rPr>
          <w:b/>
          <w:bCs/>
          <w:sz w:val="20"/>
          <w:szCs w:val="20"/>
        </w:rPr>
        <w:t>CASE-LEVEL SUMMARY</w:t>
      </w:r>
    </w:p>
    <w:p w14:paraId="54F08038" w14:textId="77777777" w:rsidR="00406785" w:rsidRPr="00406785" w:rsidRDefault="00406785" w:rsidP="00406785">
      <w:pPr>
        <w:rPr>
          <w:sz w:val="20"/>
          <w:szCs w:val="20"/>
        </w:rPr>
      </w:pPr>
      <w:r w:rsidRPr="00406785">
        <w:rPr>
          <w:sz w:val="20"/>
          <w:szCs w:val="20"/>
        </w:rPr>
        <w:t>Variables coded at Insufficient: None.</w:t>
      </w:r>
    </w:p>
    <w:p w14:paraId="2973B891" w14:textId="77777777" w:rsidR="00406785" w:rsidRPr="00406785" w:rsidRDefault="00406785" w:rsidP="00406785">
      <w:pPr>
        <w:rPr>
          <w:sz w:val="20"/>
          <w:szCs w:val="20"/>
        </w:rPr>
      </w:pPr>
      <w:r w:rsidRPr="00406785">
        <w:rPr>
          <w:sz w:val="20"/>
          <w:szCs w:val="20"/>
        </w:rPr>
        <w:t>Variables coded at Medium confidence: Variable 8 (Coalition size) — coalition breadth is evidenced but the specific coordination mechanisms between NGO actors and the organising infrastructure behind the 162,000 consultation responses are not documented in the locked source set; coalition composition is partially evidenced through government press releases quoting allies rather than through independent coalition documentation.</w:t>
      </w:r>
    </w:p>
    <w:p w14:paraId="577C4C72" w14:textId="77777777" w:rsidR="00406785" w:rsidRPr="00406785" w:rsidRDefault="00406785" w:rsidP="00406785">
      <w:pPr>
        <w:rPr>
          <w:sz w:val="20"/>
          <w:szCs w:val="20"/>
        </w:rPr>
      </w:pPr>
      <w:r w:rsidRPr="00406785">
        <w:rPr>
          <w:sz w:val="20"/>
          <w:szCs w:val="20"/>
        </w:rPr>
        <w:t>Phase 1/4 exception used: Yes — Source 1 (Ellen MacArthur Foundation, January 2016) used for Variable 13 (Legal/regulatory landscape) to establish the pre-window policy terrain, and for Variable 14 (Narrative dominance) to establish the framing context at window open. In-window sources alone are sufficient for the in-window periods of both variables but Source 1 provides necessary context for the starting conditions. Flagged explicitly above in each variable.</w:t>
      </w:r>
    </w:p>
    <w:p w14:paraId="568D8CFA" w14:textId="77777777" w:rsidR="00406785" w:rsidRPr="00406785" w:rsidRDefault="00641196" w:rsidP="00406785">
      <w:pPr>
        <w:rPr>
          <w:sz w:val="20"/>
          <w:szCs w:val="20"/>
        </w:rPr>
      </w:pPr>
      <w:r>
        <w:rPr>
          <w:sz w:val="20"/>
          <w:szCs w:val="20"/>
        </w:rPr>
        <w:pict w14:anchorId="3515A8B4">
          <v:rect id="_x0000_i1056" style="width:0;height:1.5pt" o:hralign="center" o:hrstd="t" o:hr="t" fillcolor="#a0a0a0" stroked="f"/>
        </w:pict>
      </w:r>
    </w:p>
    <w:p w14:paraId="0F662B50" w14:textId="77777777" w:rsidR="00406785" w:rsidRPr="00406785" w:rsidRDefault="00406785" w:rsidP="00406785">
      <w:pPr>
        <w:rPr>
          <w:sz w:val="20"/>
          <w:szCs w:val="20"/>
        </w:rPr>
      </w:pPr>
      <w:r w:rsidRPr="00406785">
        <w:rPr>
          <w:b/>
          <w:bCs/>
          <w:sz w:val="20"/>
          <w:szCs w:val="20"/>
        </w:rPr>
        <w:t>OVERALL CASE CONFIDENCE/QUALITY FLAG</w:t>
      </w:r>
      <w:r w:rsidRPr="00406785">
        <w:rPr>
          <w:sz w:val="20"/>
          <w:szCs w:val="20"/>
        </w:rPr>
        <w:br/>
        <w:t>High. Fourteen of fifteen substantive variable entries are at High confidence; Variable 8 is Medium. The source set spans primary government documents (Sources 2–5), independent polling (Sources 10, 11), campaign actor sources (Sources 6, 7, 8), sustainability consultancy analysis (Source 12), and a mission-driven research alliance analysis (Source 13) — covering government, civil society, industry-adjacent, and polling categories. The Phase 1 exception is used transparently and narrowly for two variables only. The only structural caveat is that campaign coordination mechanics (Variable 8) rely partly on inference from government press releases quoting allies rather than independent coalition documentation.</w:t>
      </w:r>
    </w:p>
    <w:p w14:paraId="5D986365" w14:textId="77777777" w:rsidR="00406785" w:rsidRPr="00406785" w:rsidRDefault="00641196" w:rsidP="00406785">
      <w:pPr>
        <w:rPr>
          <w:sz w:val="20"/>
          <w:szCs w:val="20"/>
        </w:rPr>
      </w:pPr>
      <w:r>
        <w:rPr>
          <w:sz w:val="20"/>
          <w:szCs w:val="20"/>
        </w:rPr>
        <w:pict w14:anchorId="1AF5CC8C">
          <v:rect id="_x0000_i1057" style="width:0;height:1.5pt" o:hralign="center" o:hrstd="t" o:hr="t" fillcolor="#a0a0a0" stroked="f"/>
        </w:pict>
      </w:r>
    </w:p>
    <w:p w14:paraId="3A29F089" w14:textId="77777777" w:rsidR="00406785" w:rsidRPr="00406785" w:rsidRDefault="00406785" w:rsidP="00406785">
      <w:pPr>
        <w:rPr>
          <w:sz w:val="20"/>
          <w:szCs w:val="20"/>
        </w:rPr>
      </w:pPr>
      <w:r w:rsidRPr="00406785">
        <w:rPr>
          <w:b/>
          <w:bCs/>
          <w:sz w:val="20"/>
          <w:szCs w:val="20"/>
        </w:rPr>
        <w:t>HINDSIGHT NOTES</w:t>
      </w:r>
    </w:p>
    <w:p w14:paraId="75FD7F40" w14:textId="77777777" w:rsidR="00406785" w:rsidRPr="00406785" w:rsidRDefault="00406785" w:rsidP="00406785">
      <w:pPr>
        <w:rPr>
          <w:sz w:val="20"/>
          <w:szCs w:val="20"/>
        </w:rPr>
      </w:pPr>
      <w:r w:rsidRPr="00406785">
        <w:rPr>
          <w:sz w:val="20"/>
          <w:szCs w:val="20"/>
        </w:rPr>
        <w:t>Variable 11 (Scale) — post-window, the ban's scope has been progressively extended in England to other single-use plastic items (cutlery, plates, polystyrene cups from October 2023), suggesting the straws/stirrers/cotton buds ban was a deliberate first step in a longer legislative sequence. Not used in coding above as these extensions fall outside the campaign window.</w:t>
      </w:r>
    </w:p>
    <w:p w14:paraId="19079F08" w14:textId="77777777" w:rsidR="00406785" w:rsidRPr="00406785" w:rsidRDefault="00406785" w:rsidP="00406785">
      <w:pPr>
        <w:rPr>
          <w:sz w:val="20"/>
          <w:szCs w:val="20"/>
        </w:rPr>
      </w:pPr>
      <w:r w:rsidRPr="00406785">
        <w:rPr>
          <w:sz w:val="20"/>
          <w:szCs w:val="20"/>
        </w:rPr>
        <w:t>Variable 7 (Role of policy vs market pressure vs cultural shift) — post-window evidence confirms market movement accelerated after the ban; the circular economy dynamic continued. Not used in coding above.</w:t>
      </w:r>
    </w:p>
    <w:p w14:paraId="546CB538" w14:textId="77777777" w:rsidR="00406785" w:rsidRPr="00406785" w:rsidRDefault="00406785" w:rsidP="00406785">
      <w:pPr>
        <w:rPr>
          <w:sz w:val="20"/>
          <w:szCs w:val="20"/>
        </w:rPr>
      </w:pPr>
      <w:r w:rsidRPr="00406785">
        <w:rPr>
          <w:sz w:val="20"/>
          <w:szCs w:val="20"/>
        </w:rPr>
        <w:t>Variable 10 (Speed of change achieved) — the COVID delay of 6 months (April to October 2020) was a contingent factor that slowed the final commencement. Absent COVID, the speed would be coded as slightly faster (3 years 3 months to commencement rather than 3 years 9 months from consultation launch). Not used in coding above but relevant context for comparative speed assessment.</w:t>
      </w:r>
    </w:p>
    <w:p w14:paraId="697111D6" w14:textId="77777777" w:rsidR="00406785" w:rsidRPr="00406785" w:rsidRDefault="00406785" w:rsidP="00406785">
      <w:pPr>
        <w:rPr>
          <w:sz w:val="20"/>
          <w:szCs w:val="20"/>
        </w:rPr>
      </w:pPr>
      <w:r w:rsidRPr="00406785">
        <w:rPr>
          <w:sz w:val="20"/>
          <w:szCs w:val="20"/>
        </w:rPr>
        <w:t>No other hindsight notes applicable.</w:t>
      </w:r>
    </w:p>
    <w:p w14:paraId="07D338FF" w14:textId="14A74745" w:rsidR="00A15643" w:rsidRPr="00A15643" w:rsidRDefault="00A15643" w:rsidP="00A15643">
      <w:pPr>
        <w:pStyle w:val="Heading1"/>
        <w:rPr>
          <w:b/>
          <w:bCs/>
        </w:rPr>
      </w:pPr>
      <w:r w:rsidRPr="00A15643">
        <w:lastRenderedPageBreak/>
        <w:t>CASE</w:t>
      </w:r>
      <w:r w:rsidR="00F3699C">
        <w:t xml:space="preserve"> 16</w:t>
      </w:r>
      <w:r w:rsidRPr="00A15643">
        <w:t>: Every Australian Counts/NDIS Campaign</w:t>
      </w:r>
    </w:p>
    <w:p w14:paraId="4D3E4675" w14:textId="77777777" w:rsidR="00A15643" w:rsidRPr="00A15643" w:rsidRDefault="00A15643" w:rsidP="00A15643">
      <w:r w:rsidRPr="00A15643">
        <w:t xml:space="preserve">Window: 26 January 2011 → 8 September 2013 (resolved/passed) </w:t>
      </w:r>
    </w:p>
    <w:p w14:paraId="3E5AA7F7" w14:textId="77777777" w:rsidR="00A15643" w:rsidRPr="00A15643" w:rsidRDefault="00A15643" w:rsidP="00A15643">
      <w:pPr>
        <w:rPr>
          <w:b/>
          <w:bCs/>
        </w:rPr>
      </w:pPr>
      <w:r w:rsidRPr="00A15643">
        <w:rPr>
          <w:b/>
          <w:bCs/>
        </w:rPr>
        <w:t>LIST B — EVIDENCE / CONFIDENCE / SOURCE TAG</w:t>
      </w:r>
    </w:p>
    <w:p w14:paraId="36EA954F" w14:textId="77777777" w:rsidR="00A15643" w:rsidRPr="008963A7" w:rsidRDefault="00A15643" w:rsidP="00A15643">
      <w:pPr>
        <w:numPr>
          <w:ilvl w:val="0"/>
          <w:numId w:val="1"/>
        </w:numPr>
        <w:rPr>
          <w:sz w:val="20"/>
          <w:szCs w:val="20"/>
        </w:rPr>
      </w:pPr>
      <w:r w:rsidRPr="008963A7">
        <w:rPr>
          <w:b/>
          <w:bCs/>
          <w:sz w:val="20"/>
          <w:szCs w:val="20"/>
        </w:rPr>
        <w:t>Target type</w:t>
      </w:r>
      <w:r w:rsidRPr="008963A7">
        <w:rPr>
          <w:b/>
          <w:bCs/>
          <w:sz w:val="20"/>
          <w:szCs w:val="20"/>
        </w:rPr>
        <w:br/>
      </w:r>
      <w:r w:rsidRPr="008963A7">
        <w:rPr>
          <w:sz w:val="20"/>
          <w:szCs w:val="20"/>
        </w:rPr>
        <w:t xml:space="preserve"> Evidence: The Productivity Commission report was a government-commissioned inquiry directly informing federal legislation; the COAG Intergovernmental Agreement shows state/territory governments as a co-equal second target for cost-sharing and implementation agreement.</w:t>
      </w:r>
      <w:r w:rsidRPr="008963A7">
        <w:rPr>
          <w:sz w:val="20"/>
          <w:szCs w:val="20"/>
        </w:rPr>
        <w:br/>
        <w:t xml:space="preserve"> Confidence: High — directly and explicitly evidenced across multiple government-record sources.</w:t>
      </w:r>
      <w:r w:rsidRPr="008963A7">
        <w:rPr>
          <w:sz w:val="20"/>
          <w:szCs w:val="20"/>
        </w:rPr>
        <w:br/>
        <w:t xml:space="preserve"> Source Tag: #1, #13.</w:t>
      </w:r>
    </w:p>
    <w:p w14:paraId="606EC4B9" w14:textId="77777777" w:rsidR="00A15643" w:rsidRPr="008963A7" w:rsidRDefault="00A15643" w:rsidP="00A15643">
      <w:pPr>
        <w:numPr>
          <w:ilvl w:val="0"/>
          <w:numId w:val="1"/>
        </w:numPr>
        <w:rPr>
          <w:sz w:val="20"/>
          <w:szCs w:val="20"/>
        </w:rPr>
      </w:pPr>
      <w:r w:rsidRPr="008963A7">
        <w:rPr>
          <w:b/>
          <w:bCs/>
          <w:sz w:val="20"/>
          <w:szCs w:val="20"/>
        </w:rPr>
        <w:t>Concentration of decision-making power</w:t>
      </w:r>
      <w:r w:rsidRPr="008963A7">
        <w:rPr>
          <w:b/>
          <w:bCs/>
          <w:sz w:val="20"/>
          <w:szCs w:val="20"/>
        </w:rPr>
        <w:br/>
      </w:r>
      <w:r w:rsidRPr="008963A7">
        <w:rPr>
          <w:sz w:val="20"/>
          <w:szCs w:val="20"/>
        </w:rPr>
        <w:t xml:space="preserve"> Evidence: Passage required Cabinet, both Houses of federal Parliament, and COAG agreement among a small number of state/territory first ministers — a concentrated set of institutional decision points compared to mass consumer behaviour change.</w:t>
      </w:r>
      <w:r w:rsidRPr="008963A7">
        <w:rPr>
          <w:sz w:val="20"/>
          <w:szCs w:val="20"/>
        </w:rPr>
        <w:br/>
        <w:t xml:space="preserve"> Confidence: High — directly evidenced by the legislative and intergovernmental pathway documented across sources.</w:t>
      </w:r>
      <w:r w:rsidRPr="008963A7">
        <w:rPr>
          <w:sz w:val="20"/>
          <w:szCs w:val="20"/>
        </w:rPr>
        <w:br/>
        <w:t xml:space="preserve"> Source Tag: #6, #7, #13.</w:t>
      </w:r>
    </w:p>
    <w:p w14:paraId="147DE2EC" w14:textId="77777777" w:rsidR="00A15643" w:rsidRPr="008963A7" w:rsidRDefault="00A15643" w:rsidP="00A15643">
      <w:pPr>
        <w:numPr>
          <w:ilvl w:val="0"/>
          <w:numId w:val="1"/>
        </w:numPr>
        <w:rPr>
          <w:sz w:val="20"/>
          <w:szCs w:val="20"/>
        </w:rPr>
      </w:pPr>
      <w:r w:rsidRPr="008963A7">
        <w:rPr>
          <w:b/>
          <w:bCs/>
          <w:sz w:val="20"/>
          <w:szCs w:val="20"/>
        </w:rPr>
        <w:t>Strength of opposition</w:t>
      </w:r>
      <w:r w:rsidRPr="008963A7">
        <w:rPr>
          <w:b/>
          <w:bCs/>
          <w:sz w:val="20"/>
          <w:szCs w:val="20"/>
        </w:rPr>
        <w:br/>
      </w:r>
      <w:r w:rsidRPr="008963A7">
        <w:rPr>
          <w:sz w:val="20"/>
          <w:szCs w:val="20"/>
        </w:rPr>
        <w:t xml:space="preserve"> Evidence: #8 documents Liberal-state fiscal resistance during the 2012 COAG negotiation period as the primary friction; #9 documents the federal Coalition's stance as conditional/qualified support rather than active opposition, with Abbott directly quoted committing to bipartisan support subject to budget conditions.</w:t>
      </w:r>
      <w:r w:rsidRPr="008963A7">
        <w:rPr>
          <w:sz w:val="20"/>
          <w:szCs w:val="20"/>
        </w:rPr>
        <w:br/>
        <w:t xml:space="preserve"> Confidence: High — both forms of resistance are directly and specifically evidenced, and notably neither rises to outright opposition.</w:t>
      </w:r>
      <w:r w:rsidRPr="008963A7">
        <w:rPr>
          <w:sz w:val="20"/>
          <w:szCs w:val="20"/>
        </w:rPr>
        <w:br/>
        <w:t xml:space="preserve"> Source Tag: #8, #9.</w:t>
      </w:r>
    </w:p>
    <w:p w14:paraId="3C7738EC" w14:textId="77777777" w:rsidR="00A15643" w:rsidRPr="008963A7" w:rsidRDefault="00A15643" w:rsidP="00A15643">
      <w:pPr>
        <w:numPr>
          <w:ilvl w:val="0"/>
          <w:numId w:val="1"/>
        </w:numPr>
        <w:rPr>
          <w:sz w:val="20"/>
          <w:szCs w:val="20"/>
        </w:rPr>
      </w:pPr>
      <w:r w:rsidRPr="008963A7">
        <w:rPr>
          <w:b/>
          <w:bCs/>
          <w:sz w:val="20"/>
          <w:szCs w:val="20"/>
        </w:rPr>
        <w:t>Type of opposition</w:t>
      </w:r>
      <w:r w:rsidRPr="008963A7">
        <w:rPr>
          <w:b/>
          <w:bCs/>
          <w:sz w:val="20"/>
          <w:szCs w:val="20"/>
        </w:rPr>
        <w:br/>
      </w:r>
      <w:r w:rsidRPr="008963A7">
        <w:rPr>
          <w:sz w:val="20"/>
          <w:szCs w:val="20"/>
        </w:rPr>
        <w:t xml:space="preserve"> Evidence: #8 documents the COAG funding "debacle" as fiscal/structural resistance between government tiers; #9 documents conditional political caution rather than rejection; #7 (the Senate Committee report) documents detailed implementation-level contestation via 29 formal recommendations for amendment, including a dissenting Australian Greens additional-comments section.</w:t>
      </w:r>
      <w:r w:rsidRPr="008963A7">
        <w:rPr>
          <w:sz w:val="20"/>
          <w:szCs w:val="20"/>
        </w:rPr>
        <w:br/>
        <w:t xml:space="preserve"> Confidence: High — multiple distinct forms of in-window contestation are directly and richly evidenced.</w:t>
      </w:r>
      <w:r w:rsidRPr="008963A7">
        <w:rPr>
          <w:sz w:val="20"/>
          <w:szCs w:val="20"/>
        </w:rPr>
        <w:br/>
        <w:t xml:space="preserve"> Source Tag: #8, #9, #7.</w:t>
      </w:r>
    </w:p>
    <w:p w14:paraId="44CF909F" w14:textId="77777777" w:rsidR="00A15643" w:rsidRPr="008963A7" w:rsidRDefault="00A15643" w:rsidP="00A15643">
      <w:pPr>
        <w:numPr>
          <w:ilvl w:val="0"/>
          <w:numId w:val="1"/>
        </w:numPr>
        <w:rPr>
          <w:sz w:val="20"/>
          <w:szCs w:val="20"/>
        </w:rPr>
      </w:pPr>
      <w:r w:rsidRPr="008963A7">
        <w:rPr>
          <w:b/>
          <w:bCs/>
          <w:sz w:val="20"/>
          <w:szCs w:val="20"/>
        </w:rPr>
        <w:t>Visibility of harm to the public</w:t>
      </w:r>
      <w:r w:rsidRPr="008963A7">
        <w:rPr>
          <w:b/>
          <w:bCs/>
          <w:sz w:val="20"/>
          <w:szCs w:val="20"/>
        </w:rPr>
        <w:br/>
      </w:r>
      <w:r w:rsidRPr="008963A7">
        <w:rPr>
          <w:sz w:val="20"/>
          <w:szCs w:val="20"/>
        </w:rPr>
        <w:t xml:space="preserve"> Evidence: #1 documents the PC's own "underfunded, unfair, fragmented and inefficient" characterisation as already publicly released by August 2011; #5 and #2 document the campaign's deliberate effort to build further visibility through mass rallies (15,000–20,000 attendees) and individual storytelling.</w:t>
      </w:r>
      <w:r w:rsidRPr="008963A7">
        <w:rPr>
          <w:sz w:val="20"/>
          <w:szCs w:val="20"/>
        </w:rPr>
        <w:br/>
        <w:t xml:space="preserve"> Confidence: High — both the pre-existing diagnostic visibility and the campaign's active visibility-building are directly evidenced.</w:t>
      </w:r>
      <w:r w:rsidRPr="008963A7">
        <w:rPr>
          <w:sz w:val="20"/>
          <w:szCs w:val="20"/>
        </w:rPr>
        <w:br/>
        <w:t xml:space="preserve"> Source Tag: #1, #5, #2.</w:t>
      </w:r>
    </w:p>
    <w:p w14:paraId="69EC0A43" w14:textId="77777777" w:rsidR="00A15643" w:rsidRPr="008963A7" w:rsidRDefault="00A15643" w:rsidP="00A15643">
      <w:pPr>
        <w:numPr>
          <w:ilvl w:val="0"/>
          <w:numId w:val="1"/>
        </w:numPr>
        <w:rPr>
          <w:sz w:val="20"/>
          <w:szCs w:val="20"/>
        </w:rPr>
      </w:pPr>
      <w:r w:rsidRPr="008963A7">
        <w:rPr>
          <w:b/>
          <w:bCs/>
          <w:sz w:val="20"/>
          <w:szCs w:val="20"/>
        </w:rPr>
        <w:t>Degree of behaviour change required</w:t>
      </w:r>
      <w:r w:rsidRPr="008963A7">
        <w:rPr>
          <w:b/>
          <w:bCs/>
          <w:sz w:val="20"/>
          <w:szCs w:val="20"/>
        </w:rPr>
        <w:br/>
      </w:r>
      <w:r w:rsidRPr="008963A7">
        <w:rPr>
          <w:sz w:val="20"/>
          <w:szCs w:val="20"/>
        </w:rPr>
        <w:t xml:space="preserve"> Evidence: #6 (Macklin's speech) and #13 (IGA) document the change as primarily legislative/administrative (new agency, new funding mechanism) rather than requiring mass individual behaviour change; #7 documents extensive operational-detail requirements for the disability services sector itself (workforce capacity, service provider conflict-of-interest mechanisms).</w:t>
      </w:r>
      <w:r w:rsidRPr="008963A7">
        <w:rPr>
          <w:sz w:val="20"/>
          <w:szCs w:val="20"/>
        </w:rPr>
        <w:br/>
        <w:t xml:space="preserve"> Confidence: High — directly evidenced at both the government and sector-delivery levels.</w:t>
      </w:r>
      <w:r w:rsidRPr="008963A7">
        <w:rPr>
          <w:sz w:val="20"/>
          <w:szCs w:val="20"/>
        </w:rPr>
        <w:br/>
        <w:t xml:space="preserve"> Source Tag: #6, #13, #7.</w:t>
      </w:r>
    </w:p>
    <w:p w14:paraId="1F5298C3" w14:textId="77777777" w:rsidR="00A15643" w:rsidRPr="008963A7" w:rsidRDefault="00A15643" w:rsidP="00A15643">
      <w:pPr>
        <w:numPr>
          <w:ilvl w:val="0"/>
          <w:numId w:val="1"/>
        </w:numPr>
        <w:rPr>
          <w:sz w:val="20"/>
          <w:szCs w:val="20"/>
        </w:rPr>
      </w:pPr>
      <w:r w:rsidRPr="008963A7">
        <w:rPr>
          <w:b/>
          <w:bCs/>
          <w:sz w:val="20"/>
          <w:szCs w:val="20"/>
        </w:rPr>
        <w:t>Role of policy vs market vs cultural shift</w:t>
      </w:r>
      <w:r w:rsidRPr="008963A7">
        <w:rPr>
          <w:b/>
          <w:bCs/>
          <w:sz w:val="20"/>
          <w:szCs w:val="20"/>
        </w:rPr>
        <w:br/>
      </w:r>
      <w:r w:rsidRPr="008963A7">
        <w:rPr>
          <w:sz w:val="20"/>
          <w:szCs w:val="20"/>
        </w:rPr>
        <w:t xml:space="preserve"> Evidence: #1 documents the explicit policy/legal mechanism (a commissioned government inquiry leading to legislation); #2 and #4 document the campaign's deliberate cultural reframing of disability support from "welfare" to "insurance"/entitlement.</w:t>
      </w:r>
      <w:r w:rsidRPr="008963A7">
        <w:rPr>
          <w:sz w:val="20"/>
          <w:szCs w:val="20"/>
        </w:rPr>
        <w:br/>
      </w:r>
      <w:r w:rsidRPr="008963A7">
        <w:rPr>
          <w:sz w:val="20"/>
          <w:szCs w:val="20"/>
        </w:rPr>
        <w:lastRenderedPageBreak/>
        <w:t xml:space="preserve"> Confidence: High — both mechanisms directly and explicitly evidenced.</w:t>
      </w:r>
      <w:r w:rsidRPr="008963A7">
        <w:rPr>
          <w:sz w:val="20"/>
          <w:szCs w:val="20"/>
        </w:rPr>
        <w:br/>
        <w:t xml:space="preserve"> Source Tag: #1, #2, #4.</w:t>
      </w:r>
    </w:p>
    <w:p w14:paraId="3EBB444F" w14:textId="77777777" w:rsidR="00A15643" w:rsidRPr="008963A7" w:rsidRDefault="00A15643" w:rsidP="00A15643">
      <w:pPr>
        <w:numPr>
          <w:ilvl w:val="0"/>
          <w:numId w:val="1"/>
        </w:numPr>
        <w:rPr>
          <w:sz w:val="20"/>
          <w:szCs w:val="20"/>
        </w:rPr>
      </w:pPr>
      <w:r w:rsidRPr="008963A7">
        <w:rPr>
          <w:b/>
          <w:bCs/>
          <w:sz w:val="20"/>
          <w:szCs w:val="20"/>
        </w:rPr>
        <w:t>Coalition size/type/non-obvious allies</w:t>
      </w:r>
      <w:r w:rsidRPr="008963A7">
        <w:rPr>
          <w:b/>
          <w:bCs/>
          <w:sz w:val="20"/>
          <w:szCs w:val="20"/>
        </w:rPr>
        <w:br/>
      </w:r>
      <w:r w:rsidRPr="008963A7">
        <w:rPr>
          <w:sz w:val="20"/>
          <w:szCs w:val="20"/>
        </w:rPr>
        <w:t xml:space="preserve"> Evidence: #2 documents the three-body National Disability and Carer Alliance as the coalition's core; #10 documents individual citizen participation via formal submission; #11 documents a national rural health peak body (34 member organisations) as a distinct, sector-specific coalition partner; #3 documents PwC, a major professional services firm, as a notable non-obvious ally providing independent economic modelling.</w:t>
      </w:r>
      <w:r w:rsidRPr="008963A7">
        <w:rPr>
          <w:sz w:val="20"/>
          <w:szCs w:val="20"/>
        </w:rPr>
        <w:br/>
        <w:t xml:space="preserve"> Confidence: High — coalition breadth, type, and a genuine non-obvious ally are all directly and richly evidenced.</w:t>
      </w:r>
      <w:r w:rsidRPr="008963A7">
        <w:rPr>
          <w:sz w:val="20"/>
          <w:szCs w:val="20"/>
        </w:rPr>
        <w:br/>
        <w:t xml:space="preserve"> Source Tag: #2, #10, #11, #3.</w:t>
      </w:r>
    </w:p>
    <w:p w14:paraId="313871E0" w14:textId="77777777" w:rsidR="00A15643" w:rsidRPr="008963A7" w:rsidRDefault="00A15643" w:rsidP="00A15643">
      <w:pPr>
        <w:numPr>
          <w:ilvl w:val="0"/>
          <w:numId w:val="1"/>
        </w:numPr>
        <w:rPr>
          <w:sz w:val="20"/>
          <w:szCs w:val="20"/>
        </w:rPr>
      </w:pPr>
      <w:r w:rsidRPr="008963A7">
        <w:rPr>
          <w:b/>
          <w:bCs/>
          <w:sz w:val="20"/>
          <w:szCs w:val="20"/>
        </w:rPr>
        <w:t>Economic disruption required</w:t>
      </w:r>
      <w:r w:rsidRPr="008963A7">
        <w:rPr>
          <w:b/>
          <w:bCs/>
          <w:sz w:val="20"/>
          <w:szCs w:val="20"/>
        </w:rPr>
        <w:br/>
      </w:r>
      <w:r w:rsidRPr="008963A7">
        <w:rPr>
          <w:sz w:val="20"/>
          <w:szCs w:val="20"/>
        </w:rPr>
        <w:t xml:space="preserve"> Evidence: #3 documents the change being framed and modelled primarily as a net economic </w:t>
      </w:r>
      <w:r w:rsidRPr="008963A7">
        <w:rPr>
          <w:i/>
          <w:iCs/>
          <w:sz w:val="20"/>
          <w:szCs w:val="20"/>
        </w:rPr>
        <w:t>benefit</w:t>
      </w:r>
      <w:r w:rsidRPr="008963A7">
        <w:rPr>
          <w:sz w:val="20"/>
          <w:szCs w:val="20"/>
        </w:rPr>
        <w:t xml:space="preserve"> (workforce participation, GDP contribution) rather than a disruption to an existing industry; #13 documents the practical disruption as fiscal/administrative (cost-sharing arrangements between government tiers) rather than displacing an entrenched commercial sector.</w:t>
      </w:r>
      <w:r w:rsidRPr="008963A7">
        <w:rPr>
          <w:sz w:val="20"/>
          <w:szCs w:val="20"/>
        </w:rPr>
        <w:br/>
        <w:t xml:space="preserve"> Confidence: Medium — clearly evidenced as low-to-moderate at the legislative level, but the locked set does not directly quantify disruption to existing state-based disability service providers who would be restructured under the new scheme.</w:t>
      </w:r>
      <w:r w:rsidRPr="008963A7">
        <w:rPr>
          <w:sz w:val="20"/>
          <w:szCs w:val="20"/>
        </w:rPr>
        <w:br/>
        <w:t xml:space="preserve"> Source Tag: #3, #13.</w:t>
      </w:r>
    </w:p>
    <w:p w14:paraId="5D757CC8" w14:textId="77777777" w:rsidR="00A15643" w:rsidRPr="008963A7" w:rsidRDefault="00A15643" w:rsidP="00A15643">
      <w:pPr>
        <w:numPr>
          <w:ilvl w:val="0"/>
          <w:numId w:val="1"/>
        </w:numPr>
        <w:rPr>
          <w:sz w:val="20"/>
          <w:szCs w:val="20"/>
        </w:rPr>
      </w:pPr>
      <w:r w:rsidRPr="008963A7">
        <w:rPr>
          <w:b/>
          <w:bCs/>
          <w:sz w:val="20"/>
          <w:szCs w:val="20"/>
        </w:rPr>
        <w:t>Speed of change achieved</w:t>
      </w:r>
      <w:r w:rsidRPr="008963A7">
        <w:rPr>
          <w:b/>
          <w:bCs/>
          <w:sz w:val="20"/>
          <w:szCs w:val="20"/>
        </w:rPr>
        <w:br/>
      </w:r>
      <w:r w:rsidRPr="008963A7">
        <w:rPr>
          <w:sz w:val="20"/>
          <w:szCs w:val="20"/>
        </w:rPr>
        <w:t xml:space="preserve"> Evidence: #1 (Aug 2011 report) to #6/#7 (March 2013 passage) to #13 (Dec 2012 first IGA, overlapping with legislative passage) shows the full arc from formal government inquiry to legislative passage and first intergovernmental agreement within approximately 18–19 months.</w:t>
      </w:r>
      <w:r w:rsidRPr="008963A7">
        <w:rPr>
          <w:sz w:val="20"/>
          <w:szCs w:val="20"/>
        </w:rPr>
        <w:br/>
        <w:t xml:space="preserve"> Confidence: High — precisely dated at every major step across multiple primary sources.</w:t>
      </w:r>
      <w:r w:rsidRPr="008963A7">
        <w:rPr>
          <w:sz w:val="20"/>
          <w:szCs w:val="20"/>
        </w:rPr>
        <w:br/>
        <w:t xml:space="preserve"> Source Tag: #1, #6, #7, #13.</w:t>
      </w:r>
    </w:p>
    <w:p w14:paraId="7F40FFC3" w14:textId="77777777" w:rsidR="00A15643" w:rsidRPr="008963A7" w:rsidRDefault="00A15643" w:rsidP="00A15643">
      <w:pPr>
        <w:numPr>
          <w:ilvl w:val="0"/>
          <w:numId w:val="1"/>
        </w:numPr>
        <w:rPr>
          <w:sz w:val="20"/>
          <w:szCs w:val="20"/>
        </w:rPr>
      </w:pPr>
      <w:r w:rsidRPr="008963A7">
        <w:rPr>
          <w:b/>
          <w:bCs/>
          <w:sz w:val="20"/>
          <w:szCs w:val="20"/>
        </w:rPr>
        <w:t>Scale of change achieved</w:t>
      </w:r>
      <w:r w:rsidRPr="008963A7">
        <w:rPr>
          <w:b/>
          <w:bCs/>
          <w:sz w:val="20"/>
          <w:szCs w:val="20"/>
        </w:rPr>
        <w:br/>
      </w:r>
      <w:r w:rsidRPr="008963A7">
        <w:rPr>
          <w:sz w:val="20"/>
          <w:szCs w:val="20"/>
        </w:rPr>
        <w:t xml:space="preserve"> Evidence: #13 documents a new national statutory scheme and agency; #4 (academic commentary) explicitly situates this as addressing a policy gap traceable to the 1974 Woodhouse Report, nearly four decades earlier, framing it as a major structural milestone; #13 also documents the agreement as a staged, multi-year national rollout rather than a single-moment full implementation.</w:t>
      </w:r>
      <w:r w:rsidRPr="008963A7">
        <w:rPr>
          <w:sz w:val="20"/>
          <w:szCs w:val="20"/>
        </w:rPr>
        <w:br/>
        <w:t xml:space="preserve"> Confidence: High — both the foundational scale and its staged, incomplete-at-window's-close nature are directly evidenced.</w:t>
      </w:r>
      <w:r w:rsidRPr="008963A7">
        <w:rPr>
          <w:sz w:val="20"/>
          <w:szCs w:val="20"/>
        </w:rPr>
        <w:br/>
        <w:t xml:space="preserve"> Source Tag: #13, #4.</w:t>
      </w:r>
    </w:p>
    <w:p w14:paraId="61D5254B" w14:textId="77777777" w:rsidR="006D2AEB" w:rsidRPr="008963A7" w:rsidRDefault="00A15643" w:rsidP="006D2AEB">
      <w:pPr>
        <w:numPr>
          <w:ilvl w:val="0"/>
          <w:numId w:val="1"/>
        </w:numPr>
        <w:rPr>
          <w:sz w:val="20"/>
          <w:szCs w:val="20"/>
        </w:rPr>
      </w:pPr>
      <w:r w:rsidRPr="008963A7">
        <w:rPr>
          <w:b/>
          <w:bCs/>
          <w:sz w:val="20"/>
          <w:szCs w:val="20"/>
        </w:rPr>
        <w:t>Public sentiment starting point</w:t>
      </w:r>
      <w:r w:rsidRPr="008963A7">
        <w:rPr>
          <w:b/>
          <w:bCs/>
          <w:sz w:val="20"/>
          <w:szCs w:val="20"/>
        </w:rPr>
        <w:br/>
      </w:r>
      <w:r w:rsidR="006D2AEB" w:rsidRPr="008963A7">
        <w:rPr>
          <w:sz w:val="20"/>
          <w:szCs w:val="20"/>
        </w:rPr>
        <w:t xml:space="preserve">Evidence: The Australian Survey of Social Attitudes 2009 (AuSSA 2009 — nationally representative biennial mail survey, randomly sampled from the Electoral Roll, n≈3,000) measured welfare attitudes including agreement that "cutting welfare benefits would damage too many people's lives," establishing a pre-campaign baseline of broadly pro-welfare public sentiment. Academic analysis of AuSSA data (Borlagdan et al., </w:t>
      </w:r>
      <w:r w:rsidR="006D2AEB" w:rsidRPr="008963A7">
        <w:rPr>
          <w:i/>
          <w:iCs/>
          <w:sz w:val="20"/>
          <w:szCs w:val="20"/>
        </w:rPr>
        <w:t>PLOS One</w:t>
      </w:r>
      <w:r w:rsidR="006D2AEB" w:rsidRPr="008963A7">
        <w:rPr>
          <w:sz w:val="20"/>
          <w:szCs w:val="20"/>
        </w:rPr>
        <w:t>, 2015, using AuSSA 2009 data) characterises Australian welfare attitudes as segmented but with a significant sympathetic strand. A peer-reviewed analysis of Australian social policy (</w:t>
      </w:r>
      <w:r w:rsidR="006D2AEB" w:rsidRPr="008963A7">
        <w:rPr>
          <w:i/>
          <w:iCs/>
          <w:sz w:val="20"/>
          <w:szCs w:val="20"/>
        </w:rPr>
        <w:t>Social Policy and Society</w:t>
      </w:r>
      <w:r w:rsidR="006D2AEB" w:rsidRPr="008963A7">
        <w:rPr>
          <w:sz w:val="20"/>
          <w:szCs w:val="20"/>
        </w:rPr>
        <w:t xml:space="preserve">, PMC, 2014) explicitly states DisabilityCare "came into play through the mediating influence of shifting social attitudes," confirming a pre-existing favourable trajectory. Most directly, the EAC campaign was explicitly designed "to appeal to Australians' sense of fairness" (Every Australian Counts 2016, cited in Dickinson &amp; Carey, </w:t>
      </w:r>
      <w:r w:rsidR="006D2AEB" w:rsidRPr="008963A7">
        <w:rPr>
          <w:i/>
          <w:iCs/>
          <w:sz w:val="20"/>
          <w:szCs w:val="20"/>
        </w:rPr>
        <w:t>Policy Design and Practice</w:t>
      </w:r>
      <w:r w:rsidR="006D2AEB" w:rsidRPr="008963A7">
        <w:rPr>
          <w:sz w:val="20"/>
          <w:szCs w:val="20"/>
        </w:rPr>
        <w:t>, 2019) — the campaign actors' own assessment of the public sentiment they were targeting pre-launch. No dedicated pre-January 2011 polling on disability insurance specifically was identified despite targeted searches; this gap is flagged.</w:t>
      </w:r>
      <w:r w:rsidR="006D2AEB" w:rsidRPr="008963A7">
        <w:rPr>
          <w:sz w:val="20"/>
          <w:szCs w:val="20"/>
        </w:rPr>
        <w:br/>
        <w:t>Confidence: Medium — the direction of pre-campaign sentiment (latently sympathetic, fairness-oriented) is well-supported across multiple independent sources; the absence of disability-specific polling prevents a High confidence rating. AuSSA 2009 is the closest qualifying general-public dataset; it measures welfare attitudes broadly rather than disability insurance specifically.</w:t>
      </w:r>
      <w:r w:rsidR="006D2AEB" w:rsidRPr="008963A7">
        <w:rPr>
          <w:sz w:val="20"/>
          <w:szCs w:val="20"/>
        </w:rPr>
        <w:br/>
        <w:t xml:space="preserve">Source Tag: AuSSA 2009 (via Borlagdan et al. 2015, </w:t>
      </w:r>
      <w:r w:rsidR="006D2AEB" w:rsidRPr="008963A7">
        <w:rPr>
          <w:i/>
          <w:iCs/>
          <w:sz w:val="20"/>
          <w:szCs w:val="20"/>
        </w:rPr>
        <w:t>PLOS One</w:t>
      </w:r>
      <w:r w:rsidR="006D2AEB" w:rsidRPr="008963A7">
        <w:rPr>
          <w:sz w:val="20"/>
          <w:szCs w:val="20"/>
        </w:rPr>
        <w:t>); Borlagdan et al. 2015; Dickinson &amp; Carey 2019 (</w:t>
      </w:r>
      <w:r w:rsidR="006D2AEB" w:rsidRPr="008963A7">
        <w:rPr>
          <w:i/>
          <w:iCs/>
          <w:sz w:val="20"/>
          <w:szCs w:val="20"/>
        </w:rPr>
        <w:t>Policy Design and Practice</w:t>
      </w:r>
      <w:r w:rsidR="006D2AEB" w:rsidRPr="008963A7">
        <w:rPr>
          <w:sz w:val="20"/>
          <w:szCs w:val="20"/>
        </w:rPr>
        <w:t>); PMC social policy analysis 2014.</w:t>
      </w:r>
    </w:p>
    <w:p w14:paraId="4F5C4956" w14:textId="583419F8" w:rsidR="00A15643" w:rsidRPr="008963A7" w:rsidRDefault="00A15643" w:rsidP="006D2AEB">
      <w:pPr>
        <w:numPr>
          <w:ilvl w:val="0"/>
          <w:numId w:val="1"/>
        </w:numPr>
        <w:rPr>
          <w:sz w:val="20"/>
          <w:szCs w:val="20"/>
        </w:rPr>
      </w:pPr>
      <w:r w:rsidRPr="008963A7">
        <w:rPr>
          <w:b/>
          <w:bCs/>
          <w:sz w:val="20"/>
          <w:szCs w:val="20"/>
        </w:rPr>
        <w:lastRenderedPageBreak/>
        <w:t>Legal/regulatory landscape</w:t>
      </w:r>
      <w:r w:rsidRPr="008963A7">
        <w:rPr>
          <w:b/>
          <w:bCs/>
          <w:sz w:val="20"/>
          <w:szCs w:val="20"/>
        </w:rPr>
        <w:br/>
      </w:r>
      <w:r w:rsidRPr="008963A7">
        <w:rPr>
          <w:sz w:val="20"/>
          <w:szCs w:val="20"/>
        </w:rPr>
        <w:t xml:space="preserve"> Evidence: #1 directly and explicitly diagnoses the prior landscape as "underfunded, unfair, fragmented and inefficient"; #6 documents Minister Macklin directly invoking this same diagnostic language in introducing the resulting legislation, showing a direct line from diagnosed legal/regulatory gap to remedial statute within the window.</w:t>
      </w:r>
      <w:r w:rsidRPr="008963A7">
        <w:rPr>
          <w:sz w:val="20"/>
          <w:szCs w:val="20"/>
        </w:rPr>
        <w:br/>
        <w:t xml:space="preserve"> Confidence: High — directly and explicitly evidenced, including the direct textual link between the diagnosis and the remedy.</w:t>
      </w:r>
      <w:r w:rsidRPr="008963A7">
        <w:rPr>
          <w:sz w:val="20"/>
          <w:szCs w:val="20"/>
        </w:rPr>
        <w:br/>
        <w:t xml:space="preserve"> Source Tag: #1, #6.</w:t>
      </w:r>
    </w:p>
    <w:p w14:paraId="2276363F" w14:textId="77777777" w:rsidR="00A15643" w:rsidRPr="008963A7" w:rsidRDefault="00A15643" w:rsidP="00043AF9">
      <w:pPr>
        <w:numPr>
          <w:ilvl w:val="0"/>
          <w:numId w:val="2"/>
        </w:numPr>
        <w:rPr>
          <w:sz w:val="20"/>
          <w:szCs w:val="20"/>
        </w:rPr>
      </w:pPr>
      <w:r w:rsidRPr="008963A7">
        <w:rPr>
          <w:b/>
          <w:bCs/>
          <w:sz w:val="20"/>
          <w:szCs w:val="20"/>
        </w:rPr>
        <w:t>Narrative dominance</w:t>
      </w:r>
      <w:r w:rsidRPr="008963A7">
        <w:rPr>
          <w:b/>
          <w:bCs/>
          <w:sz w:val="20"/>
          <w:szCs w:val="20"/>
        </w:rPr>
        <w:br/>
      </w:r>
      <w:r w:rsidRPr="008963A7">
        <w:rPr>
          <w:sz w:val="20"/>
          <w:szCs w:val="20"/>
        </w:rPr>
        <w:t xml:space="preserve"> Evidence: No locked source documents an organised, entrenched counter-narrative opposing the NDIS framing itself (as distinct from fiscal/implementation concerns); #6 documents the PC's "broken system" framing being directly and approvingly invoked in ministerial parliamentary speech by March 2013, indicating the campaign's framing had achieved high institutional dominance by passage.</w:t>
      </w:r>
      <w:r w:rsidRPr="008963A7">
        <w:rPr>
          <w:sz w:val="20"/>
          <w:szCs w:val="20"/>
        </w:rPr>
        <w:br/>
        <w:t xml:space="preserve"> Confidence: Medium — strong direct evidence for the framing's adoption by government, but the locked set does not include a source tracking public (as opposed to institutional/parliamentary) narrative dominance specifically.</w:t>
      </w:r>
      <w:r w:rsidRPr="008963A7">
        <w:rPr>
          <w:sz w:val="20"/>
          <w:szCs w:val="20"/>
        </w:rPr>
        <w:br/>
        <w:t xml:space="preserve"> Source Tag: #6, #1.</w:t>
      </w:r>
    </w:p>
    <w:p w14:paraId="2C0BC5BC" w14:textId="77777777" w:rsidR="00A15643" w:rsidRPr="008963A7" w:rsidRDefault="00A15643" w:rsidP="00043AF9">
      <w:pPr>
        <w:numPr>
          <w:ilvl w:val="0"/>
          <w:numId w:val="3"/>
        </w:numPr>
        <w:rPr>
          <w:sz w:val="20"/>
          <w:szCs w:val="20"/>
        </w:rPr>
      </w:pPr>
      <w:r w:rsidRPr="008963A7">
        <w:rPr>
          <w:b/>
          <w:bCs/>
          <w:sz w:val="20"/>
          <w:szCs w:val="20"/>
        </w:rPr>
        <w:t>Notable Tactics</w:t>
      </w:r>
      <w:r w:rsidRPr="008963A7">
        <w:rPr>
          <w:b/>
          <w:bCs/>
          <w:sz w:val="20"/>
          <w:szCs w:val="20"/>
        </w:rPr>
        <w:br/>
      </w:r>
      <w:r w:rsidRPr="008963A7">
        <w:rPr>
          <w:sz w:val="20"/>
          <w:szCs w:val="20"/>
        </w:rPr>
        <w:t xml:space="preserve"> a. Personal-story-driven public campaign paired with economic case.</w:t>
      </w:r>
      <w:r w:rsidRPr="008963A7">
        <w:rPr>
          <w:sz w:val="20"/>
          <w:szCs w:val="20"/>
        </w:rPr>
        <w:br/>
        <w:t xml:space="preserve"> Evidence: #2 and #5 directly document the rally-and-storytelling tactic; #3 directly documents the parallel economic-modelling case.</w:t>
      </w:r>
      <w:r w:rsidRPr="008963A7">
        <w:rPr>
          <w:sz w:val="20"/>
          <w:szCs w:val="20"/>
        </w:rPr>
        <w:br/>
        <w:t xml:space="preserve"> Confidence: High. Source Tag: #2, #5, #3.</w:t>
      </w:r>
      <w:r w:rsidRPr="008963A7">
        <w:rPr>
          <w:sz w:val="20"/>
          <w:szCs w:val="20"/>
        </w:rPr>
        <w:br/>
        <w:t xml:space="preserve"> b. Three-body coalition merger ahead of the formal inquiry.</w:t>
      </w:r>
      <w:r w:rsidRPr="008963A7">
        <w:rPr>
          <w:sz w:val="20"/>
          <w:szCs w:val="20"/>
        </w:rPr>
        <w:br/>
        <w:t xml:space="preserve"> Evidence: #2 directly documents the 2009 formation of the National Disability and Carer Alliance from three previously separate peak bodies.</w:t>
      </w:r>
      <w:r w:rsidRPr="008963A7">
        <w:rPr>
          <w:sz w:val="20"/>
          <w:szCs w:val="20"/>
        </w:rPr>
        <w:br/>
        <w:t xml:space="preserve"> Confidence: High. Source Tag: #2.</w:t>
      </w:r>
      <w:r w:rsidRPr="008963A7">
        <w:rPr>
          <w:sz w:val="20"/>
          <w:szCs w:val="20"/>
        </w:rPr>
        <w:br/>
        <w:t xml:space="preserve"> c. Commissioned independent economic-modelling report.</w:t>
      </w:r>
      <w:r w:rsidRPr="008963A7">
        <w:rPr>
          <w:sz w:val="20"/>
          <w:szCs w:val="20"/>
        </w:rPr>
        <w:br/>
        <w:t xml:space="preserve"> Evidence: #3 is itself the primary artifact of this tactic, directly citing and building on the PC report.</w:t>
      </w:r>
      <w:r w:rsidRPr="008963A7">
        <w:rPr>
          <w:sz w:val="20"/>
          <w:szCs w:val="20"/>
        </w:rPr>
        <w:br/>
        <w:t xml:space="preserve"> Confidence: High. Source Tag: #3.</w:t>
      </w:r>
      <w:r w:rsidRPr="008963A7">
        <w:rPr>
          <w:sz w:val="20"/>
          <w:szCs w:val="20"/>
        </w:rPr>
        <w:br/>
        <w:t xml:space="preserve"> d. Individual citizen submission-writing campaign.</w:t>
      </w:r>
      <w:r w:rsidRPr="008963A7">
        <w:rPr>
          <w:sz w:val="20"/>
          <w:szCs w:val="20"/>
        </w:rPr>
        <w:br/>
        <w:t xml:space="preserve"> Evidence: #10 is itself a direct primary example of this tactic in action.</w:t>
      </w:r>
      <w:r w:rsidRPr="008963A7">
        <w:rPr>
          <w:sz w:val="20"/>
          <w:szCs w:val="20"/>
        </w:rPr>
        <w:br/>
        <w:t xml:space="preserve"> Confidence: High. Source Tag: #10.</w:t>
      </w:r>
      <w:r w:rsidRPr="008963A7">
        <w:rPr>
          <w:sz w:val="20"/>
          <w:szCs w:val="20"/>
        </w:rPr>
        <w:br/>
        <w:t xml:space="preserve"> e. Targeted sub-population sector advocacy.</w:t>
      </w:r>
      <w:r w:rsidRPr="008963A7">
        <w:rPr>
          <w:sz w:val="20"/>
          <w:szCs w:val="20"/>
        </w:rPr>
        <w:br/>
        <w:t xml:space="preserve"> Evidence: #11 is itself a direct primary example, a 34-member-body peak organisation submitting a rural/remote-specific brief.</w:t>
      </w:r>
      <w:r w:rsidRPr="008963A7">
        <w:rPr>
          <w:sz w:val="20"/>
          <w:szCs w:val="20"/>
        </w:rPr>
        <w:br/>
        <w:t xml:space="preserve"> Confidence: High. Source Tag: #11.</w:t>
      </w:r>
    </w:p>
    <w:p w14:paraId="79EB7BEC" w14:textId="77777777" w:rsidR="00A15643" w:rsidRPr="008963A7" w:rsidRDefault="00A15643" w:rsidP="00A15643">
      <w:pPr>
        <w:rPr>
          <w:b/>
          <w:bCs/>
          <w:sz w:val="20"/>
          <w:szCs w:val="20"/>
        </w:rPr>
      </w:pPr>
      <w:r w:rsidRPr="008963A7">
        <w:rPr>
          <w:b/>
          <w:bCs/>
          <w:sz w:val="20"/>
          <w:szCs w:val="20"/>
        </w:rPr>
        <w:t>SOURCE-TO-VARIABLE MAPPING</w:t>
      </w:r>
    </w:p>
    <w:tbl>
      <w:tblPr>
        <w:tblW w:w="0" w:type="auto"/>
        <w:tblCellMar>
          <w:top w:w="15" w:type="dxa"/>
          <w:left w:w="15" w:type="dxa"/>
          <w:bottom w:w="15" w:type="dxa"/>
          <w:right w:w="15" w:type="dxa"/>
        </w:tblCellMar>
        <w:tblLook w:val="04A0" w:firstRow="1" w:lastRow="0" w:firstColumn="1" w:lastColumn="0" w:noHBand="0" w:noVBand="1"/>
      </w:tblPr>
      <w:tblGrid>
        <w:gridCol w:w="4397"/>
        <w:gridCol w:w="1938"/>
      </w:tblGrid>
      <w:tr w:rsidR="00A15643" w:rsidRPr="008963A7" w14:paraId="555B2D38" w14:textId="77777777">
        <w:trPr>
          <w:trHeight w:val="515"/>
        </w:trPr>
        <w:tc>
          <w:tcPr>
            <w:tcW w:w="0" w:type="auto"/>
            <w:tcMar>
              <w:top w:w="100" w:type="dxa"/>
              <w:left w:w="100" w:type="dxa"/>
              <w:bottom w:w="100" w:type="dxa"/>
              <w:right w:w="100" w:type="dxa"/>
            </w:tcMar>
            <w:hideMark/>
          </w:tcPr>
          <w:p w14:paraId="59FE05F8" w14:textId="77777777" w:rsidR="00A15643" w:rsidRPr="008963A7" w:rsidRDefault="00A15643" w:rsidP="00A15643">
            <w:pPr>
              <w:rPr>
                <w:sz w:val="20"/>
                <w:szCs w:val="20"/>
              </w:rPr>
            </w:pPr>
            <w:r w:rsidRPr="008963A7">
              <w:rPr>
                <w:b/>
                <w:bCs/>
                <w:sz w:val="20"/>
                <w:szCs w:val="20"/>
              </w:rPr>
              <w:t>Source</w:t>
            </w:r>
          </w:p>
        </w:tc>
        <w:tc>
          <w:tcPr>
            <w:tcW w:w="0" w:type="auto"/>
            <w:tcMar>
              <w:top w:w="100" w:type="dxa"/>
              <w:left w:w="100" w:type="dxa"/>
              <w:bottom w:w="100" w:type="dxa"/>
              <w:right w:w="100" w:type="dxa"/>
            </w:tcMar>
            <w:hideMark/>
          </w:tcPr>
          <w:p w14:paraId="0137D10A" w14:textId="77777777" w:rsidR="00A15643" w:rsidRPr="008963A7" w:rsidRDefault="00A15643" w:rsidP="00A15643">
            <w:pPr>
              <w:rPr>
                <w:sz w:val="20"/>
                <w:szCs w:val="20"/>
              </w:rPr>
            </w:pPr>
            <w:r w:rsidRPr="008963A7">
              <w:rPr>
                <w:b/>
                <w:bCs/>
                <w:sz w:val="20"/>
                <w:szCs w:val="20"/>
              </w:rPr>
              <w:t>Variables</w:t>
            </w:r>
          </w:p>
        </w:tc>
      </w:tr>
      <w:tr w:rsidR="00A15643" w:rsidRPr="008963A7" w14:paraId="3C015BD8" w14:textId="77777777">
        <w:trPr>
          <w:trHeight w:val="515"/>
        </w:trPr>
        <w:tc>
          <w:tcPr>
            <w:tcW w:w="0" w:type="auto"/>
            <w:tcMar>
              <w:top w:w="100" w:type="dxa"/>
              <w:left w:w="100" w:type="dxa"/>
              <w:bottom w:w="100" w:type="dxa"/>
              <w:right w:w="100" w:type="dxa"/>
            </w:tcMar>
            <w:hideMark/>
          </w:tcPr>
          <w:p w14:paraId="25E2AD37" w14:textId="77777777" w:rsidR="00A15643" w:rsidRPr="008963A7" w:rsidRDefault="00A15643" w:rsidP="00A15643">
            <w:pPr>
              <w:rPr>
                <w:sz w:val="20"/>
                <w:szCs w:val="20"/>
              </w:rPr>
            </w:pPr>
            <w:r w:rsidRPr="008963A7">
              <w:rPr>
                <w:sz w:val="20"/>
                <w:szCs w:val="20"/>
              </w:rPr>
              <w:t>#1 Productivity Commission report, Aug 2011</w:t>
            </w:r>
          </w:p>
        </w:tc>
        <w:tc>
          <w:tcPr>
            <w:tcW w:w="0" w:type="auto"/>
            <w:tcMar>
              <w:top w:w="100" w:type="dxa"/>
              <w:left w:w="100" w:type="dxa"/>
              <w:bottom w:w="100" w:type="dxa"/>
              <w:right w:w="100" w:type="dxa"/>
            </w:tcMar>
            <w:hideMark/>
          </w:tcPr>
          <w:p w14:paraId="041BDD31" w14:textId="77777777" w:rsidR="00A15643" w:rsidRPr="008963A7" w:rsidRDefault="00A15643" w:rsidP="00A15643">
            <w:pPr>
              <w:rPr>
                <w:sz w:val="20"/>
                <w:szCs w:val="20"/>
              </w:rPr>
            </w:pPr>
            <w:r w:rsidRPr="008963A7">
              <w:rPr>
                <w:sz w:val="20"/>
                <w:szCs w:val="20"/>
              </w:rPr>
              <w:t>1, 5, 6, 7, 10, 13, 14</w:t>
            </w:r>
          </w:p>
        </w:tc>
      </w:tr>
      <w:tr w:rsidR="00A15643" w:rsidRPr="008963A7" w14:paraId="23ABFD78" w14:textId="77777777">
        <w:trPr>
          <w:trHeight w:val="515"/>
        </w:trPr>
        <w:tc>
          <w:tcPr>
            <w:tcW w:w="0" w:type="auto"/>
            <w:tcMar>
              <w:top w:w="100" w:type="dxa"/>
              <w:left w:w="100" w:type="dxa"/>
              <w:bottom w:w="100" w:type="dxa"/>
              <w:right w:w="100" w:type="dxa"/>
            </w:tcMar>
            <w:hideMark/>
          </w:tcPr>
          <w:p w14:paraId="1B2D4C68" w14:textId="77777777" w:rsidR="00A15643" w:rsidRPr="008963A7" w:rsidRDefault="00A15643" w:rsidP="00A15643">
            <w:pPr>
              <w:rPr>
                <w:sz w:val="20"/>
                <w:szCs w:val="20"/>
              </w:rPr>
            </w:pPr>
            <w:r w:rsidRPr="008963A7">
              <w:rPr>
                <w:sz w:val="20"/>
                <w:szCs w:val="20"/>
              </w:rPr>
              <w:t>#2 EAC "Journey so far"</w:t>
            </w:r>
          </w:p>
        </w:tc>
        <w:tc>
          <w:tcPr>
            <w:tcW w:w="0" w:type="auto"/>
            <w:tcMar>
              <w:top w:w="100" w:type="dxa"/>
              <w:left w:w="100" w:type="dxa"/>
              <w:bottom w:w="100" w:type="dxa"/>
              <w:right w:w="100" w:type="dxa"/>
            </w:tcMar>
            <w:hideMark/>
          </w:tcPr>
          <w:p w14:paraId="33D8EA94" w14:textId="77777777" w:rsidR="00A15643" w:rsidRPr="008963A7" w:rsidRDefault="00A15643" w:rsidP="00A15643">
            <w:pPr>
              <w:rPr>
                <w:sz w:val="20"/>
                <w:szCs w:val="20"/>
              </w:rPr>
            </w:pPr>
            <w:r w:rsidRPr="008963A7">
              <w:rPr>
                <w:sz w:val="20"/>
                <w:szCs w:val="20"/>
              </w:rPr>
              <w:t>5, 7, 8, 15a, 15b</w:t>
            </w:r>
          </w:p>
        </w:tc>
      </w:tr>
      <w:tr w:rsidR="00A15643" w:rsidRPr="008963A7" w14:paraId="0880C2C8" w14:textId="77777777">
        <w:trPr>
          <w:trHeight w:val="515"/>
        </w:trPr>
        <w:tc>
          <w:tcPr>
            <w:tcW w:w="0" w:type="auto"/>
            <w:tcMar>
              <w:top w:w="100" w:type="dxa"/>
              <w:left w:w="100" w:type="dxa"/>
              <w:bottom w:w="100" w:type="dxa"/>
              <w:right w:w="100" w:type="dxa"/>
            </w:tcMar>
            <w:hideMark/>
          </w:tcPr>
          <w:p w14:paraId="1827A5EF" w14:textId="77777777" w:rsidR="00A15643" w:rsidRPr="008963A7" w:rsidRDefault="00A15643" w:rsidP="00A15643">
            <w:pPr>
              <w:rPr>
                <w:sz w:val="20"/>
                <w:szCs w:val="20"/>
              </w:rPr>
            </w:pPr>
            <w:r w:rsidRPr="008963A7">
              <w:rPr>
                <w:sz w:val="20"/>
                <w:szCs w:val="20"/>
              </w:rPr>
              <w:t>#3 PwC, "Disability Expectations," Nov 2011</w:t>
            </w:r>
          </w:p>
        </w:tc>
        <w:tc>
          <w:tcPr>
            <w:tcW w:w="0" w:type="auto"/>
            <w:tcMar>
              <w:top w:w="100" w:type="dxa"/>
              <w:left w:w="100" w:type="dxa"/>
              <w:bottom w:w="100" w:type="dxa"/>
              <w:right w:w="100" w:type="dxa"/>
            </w:tcMar>
            <w:hideMark/>
          </w:tcPr>
          <w:p w14:paraId="44158449" w14:textId="77777777" w:rsidR="00A15643" w:rsidRPr="008963A7" w:rsidRDefault="00A15643" w:rsidP="00A15643">
            <w:pPr>
              <w:rPr>
                <w:sz w:val="20"/>
                <w:szCs w:val="20"/>
              </w:rPr>
            </w:pPr>
            <w:r w:rsidRPr="008963A7">
              <w:rPr>
                <w:sz w:val="20"/>
                <w:szCs w:val="20"/>
              </w:rPr>
              <w:t>8, 9, 10, 15a, 15c</w:t>
            </w:r>
          </w:p>
        </w:tc>
      </w:tr>
      <w:tr w:rsidR="00A15643" w:rsidRPr="008963A7" w14:paraId="0DD34F5D" w14:textId="77777777">
        <w:trPr>
          <w:trHeight w:val="515"/>
        </w:trPr>
        <w:tc>
          <w:tcPr>
            <w:tcW w:w="0" w:type="auto"/>
            <w:tcMar>
              <w:top w:w="100" w:type="dxa"/>
              <w:left w:w="100" w:type="dxa"/>
              <w:bottom w:w="100" w:type="dxa"/>
              <w:right w:w="100" w:type="dxa"/>
            </w:tcMar>
            <w:hideMark/>
          </w:tcPr>
          <w:p w14:paraId="4EBD3977" w14:textId="77777777" w:rsidR="00A15643" w:rsidRPr="008963A7" w:rsidRDefault="00A15643" w:rsidP="00A15643">
            <w:pPr>
              <w:rPr>
                <w:sz w:val="20"/>
                <w:szCs w:val="20"/>
              </w:rPr>
            </w:pPr>
            <w:r w:rsidRPr="008963A7">
              <w:rPr>
                <w:sz w:val="20"/>
                <w:szCs w:val="20"/>
              </w:rPr>
              <w:t>#4 Dickinson &amp; Yates, UNSW republication</w:t>
            </w:r>
          </w:p>
        </w:tc>
        <w:tc>
          <w:tcPr>
            <w:tcW w:w="0" w:type="auto"/>
            <w:tcMar>
              <w:top w:w="100" w:type="dxa"/>
              <w:left w:w="100" w:type="dxa"/>
              <w:bottom w:w="100" w:type="dxa"/>
              <w:right w:w="100" w:type="dxa"/>
            </w:tcMar>
            <w:hideMark/>
          </w:tcPr>
          <w:p w14:paraId="4C5256A8" w14:textId="77777777" w:rsidR="00A15643" w:rsidRPr="008963A7" w:rsidRDefault="00A15643" w:rsidP="00A15643">
            <w:pPr>
              <w:rPr>
                <w:sz w:val="20"/>
                <w:szCs w:val="20"/>
              </w:rPr>
            </w:pPr>
            <w:r w:rsidRPr="008963A7">
              <w:rPr>
                <w:sz w:val="20"/>
                <w:szCs w:val="20"/>
              </w:rPr>
              <w:t>7, 11</w:t>
            </w:r>
          </w:p>
        </w:tc>
      </w:tr>
      <w:tr w:rsidR="00A15643" w:rsidRPr="008963A7" w14:paraId="2EA4A86B" w14:textId="77777777">
        <w:trPr>
          <w:trHeight w:val="515"/>
        </w:trPr>
        <w:tc>
          <w:tcPr>
            <w:tcW w:w="0" w:type="auto"/>
            <w:tcMar>
              <w:top w:w="100" w:type="dxa"/>
              <w:left w:w="100" w:type="dxa"/>
              <w:bottom w:w="100" w:type="dxa"/>
              <w:right w:w="100" w:type="dxa"/>
            </w:tcMar>
            <w:hideMark/>
          </w:tcPr>
          <w:p w14:paraId="7E985E93" w14:textId="77777777" w:rsidR="00A15643" w:rsidRPr="008963A7" w:rsidRDefault="00A15643" w:rsidP="00A15643">
            <w:pPr>
              <w:rPr>
                <w:sz w:val="20"/>
                <w:szCs w:val="20"/>
              </w:rPr>
            </w:pPr>
            <w:r w:rsidRPr="008963A7">
              <w:rPr>
                <w:sz w:val="20"/>
                <w:szCs w:val="20"/>
              </w:rPr>
              <w:t>#5 EAC "History"</w:t>
            </w:r>
          </w:p>
        </w:tc>
        <w:tc>
          <w:tcPr>
            <w:tcW w:w="0" w:type="auto"/>
            <w:tcMar>
              <w:top w:w="100" w:type="dxa"/>
              <w:left w:w="100" w:type="dxa"/>
              <w:bottom w:w="100" w:type="dxa"/>
              <w:right w:w="100" w:type="dxa"/>
            </w:tcMar>
            <w:hideMark/>
          </w:tcPr>
          <w:p w14:paraId="36712BA8" w14:textId="77777777" w:rsidR="00A15643" w:rsidRPr="008963A7" w:rsidRDefault="00A15643" w:rsidP="00A15643">
            <w:pPr>
              <w:rPr>
                <w:sz w:val="20"/>
                <w:szCs w:val="20"/>
              </w:rPr>
            </w:pPr>
            <w:r w:rsidRPr="008963A7">
              <w:rPr>
                <w:sz w:val="20"/>
                <w:szCs w:val="20"/>
              </w:rPr>
              <w:t>5, 15a</w:t>
            </w:r>
          </w:p>
        </w:tc>
      </w:tr>
      <w:tr w:rsidR="00A15643" w:rsidRPr="008963A7" w14:paraId="7BEA57EC" w14:textId="77777777">
        <w:trPr>
          <w:trHeight w:val="515"/>
        </w:trPr>
        <w:tc>
          <w:tcPr>
            <w:tcW w:w="0" w:type="auto"/>
            <w:tcMar>
              <w:top w:w="100" w:type="dxa"/>
              <w:left w:w="100" w:type="dxa"/>
              <w:bottom w:w="100" w:type="dxa"/>
              <w:right w:w="100" w:type="dxa"/>
            </w:tcMar>
            <w:hideMark/>
          </w:tcPr>
          <w:p w14:paraId="7DDDE948" w14:textId="77777777" w:rsidR="00A15643" w:rsidRPr="008963A7" w:rsidRDefault="00A15643" w:rsidP="00A15643">
            <w:pPr>
              <w:rPr>
                <w:sz w:val="20"/>
                <w:szCs w:val="20"/>
              </w:rPr>
            </w:pPr>
            <w:r w:rsidRPr="008963A7">
              <w:rPr>
                <w:sz w:val="20"/>
                <w:szCs w:val="20"/>
              </w:rPr>
              <w:lastRenderedPageBreak/>
              <w:t>#6 Macklin, Summing-up Speech, 14 March 2013</w:t>
            </w:r>
          </w:p>
        </w:tc>
        <w:tc>
          <w:tcPr>
            <w:tcW w:w="0" w:type="auto"/>
            <w:tcMar>
              <w:top w:w="100" w:type="dxa"/>
              <w:left w:w="100" w:type="dxa"/>
              <w:bottom w:w="100" w:type="dxa"/>
              <w:right w:w="100" w:type="dxa"/>
            </w:tcMar>
            <w:hideMark/>
          </w:tcPr>
          <w:p w14:paraId="454B7C3F" w14:textId="77777777" w:rsidR="00A15643" w:rsidRPr="008963A7" w:rsidRDefault="00A15643" w:rsidP="00A15643">
            <w:pPr>
              <w:rPr>
                <w:sz w:val="20"/>
                <w:szCs w:val="20"/>
              </w:rPr>
            </w:pPr>
            <w:r w:rsidRPr="008963A7">
              <w:rPr>
                <w:sz w:val="20"/>
                <w:szCs w:val="20"/>
              </w:rPr>
              <w:t>1, 2, 6, 10, 13, 14</w:t>
            </w:r>
          </w:p>
        </w:tc>
      </w:tr>
      <w:tr w:rsidR="00A15643" w:rsidRPr="008963A7" w14:paraId="3D9B0038" w14:textId="77777777">
        <w:trPr>
          <w:trHeight w:val="515"/>
        </w:trPr>
        <w:tc>
          <w:tcPr>
            <w:tcW w:w="0" w:type="auto"/>
            <w:tcMar>
              <w:top w:w="100" w:type="dxa"/>
              <w:left w:w="100" w:type="dxa"/>
              <w:bottom w:w="100" w:type="dxa"/>
              <w:right w:w="100" w:type="dxa"/>
            </w:tcMar>
            <w:hideMark/>
          </w:tcPr>
          <w:p w14:paraId="683BED2C" w14:textId="77777777" w:rsidR="00A15643" w:rsidRPr="008963A7" w:rsidRDefault="00A15643" w:rsidP="00A15643">
            <w:pPr>
              <w:rPr>
                <w:sz w:val="20"/>
                <w:szCs w:val="20"/>
              </w:rPr>
            </w:pPr>
            <w:r w:rsidRPr="008963A7">
              <w:rPr>
                <w:sz w:val="20"/>
                <w:szCs w:val="20"/>
              </w:rPr>
              <w:t>#7 Senate Committee final report, March 2013</w:t>
            </w:r>
          </w:p>
        </w:tc>
        <w:tc>
          <w:tcPr>
            <w:tcW w:w="0" w:type="auto"/>
            <w:tcMar>
              <w:top w:w="100" w:type="dxa"/>
              <w:left w:w="100" w:type="dxa"/>
              <w:bottom w:w="100" w:type="dxa"/>
              <w:right w:w="100" w:type="dxa"/>
            </w:tcMar>
            <w:hideMark/>
          </w:tcPr>
          <w:p w14:paraId="5E069550" w14:textId="77777777" w:rsidR="00A15643" w:rsidRPr="008963A7" w:rsidRDefault="00A15643" w:rsidP="00A15643">
            <w:pPr>
              <w:rPr>
                <w:sz w:val="20"/>
                <w:szCs w:val="20"/>
              </w:rPr>
            </w:pPr>
            <w:r w:rsidRPr="008963A7">
              <w:rPr>
                <w:sz w:val="20"/>
                <w:szCs w:val="20"/>
              </w:rPr>
              <w:t>4, 6, 10, 13 (context)</w:t>
            </w:r>
          </w:p>
        </w:tc>
      </w:tr>
      <w:tr w:rsidR="00A15643" w:rsidRPr="008963A7" w14:paraId="315C519F" w14:textId="77777777">
        <w:trPr>
          <w:trHeight w:val="515"/>
        </w:trPr>
        <w:tc>
          <w:tcPr>
            <w:tcW w:w="0" w:type="auto"/>
            <w:tcMar>
              <w:top w:w="100" w:type="dxa"/>
              <w:left w:w="100" w:type="dxa"/>
              <w:bottom w:w="100" w:type="dxa"/>
              <w:right w:w="100" w:type="dxa"/>
            </w:tcMar>
            <w:hideMark/>
          </w:tcPr>
          <w:p w14:paraId="7E643C3B" w14:textId="77777777" w:rsidR="00A15643" w:rsidRPr="008963A7" w:rsidRDefault="00A15643" w:rsidP="00A15643">
            <w:pPr>
              <w:rPr>
                <w:sz w:val="20"/>
                <w:szCs w:val="20"/>
              </w:rPr>
            </w:pPr>
            <w:r w:rsidRPr="008963A7">
              <w:rPr>
                <w:sz w:val="20"/>
                <w:szCs w:val="20"/>
              </w:rPr>
              <w:t>#8 The Conversation, Apr/May 2012</w:t>
            </w:r>
          </w:p>
        </w:tc>
        <w:tc>
          <w:tcPr>
            <w:tcW w:w="0" w:type="auto"/>
            <w:tcMar>
              <w:top w:w="100" w:type="dxa"/>
              <w:left w:w="100" w:type="dxa"/>
              <w:bottom w:w="100" w:type="dxa"/>
              <w:right w:w="100" w:type="dxa"/>
            </w:tcMar>
            <w:hideMark/>
          </w:tcPr>
          <w:p w14:paraId="6667A61B" w14:textId="77777777" w:rsidR="00A15643" w:rsidRPr="008963A7" w:rsidRDefault="00A15643" w:rsidP="00A15643">
            <w:pPr>
              <w:rPr>
                <w:sz w:val="20"/>
                <w:szCs w:val="20"/>
              </w:rPr>
            </w:pPr>
            <w:r w:rsidRPr="008963A7">
              <w:rPr>
                <w:sz w:val="20"/>
                <w:szCs w:val="20"/>
              </w:rPr>
              <w:t>3, 4</w:t>
            </w:r>
          </w:p>
        </w:tc>
      </w:tr>
      <w:tr w:rsidR="00A15643" w:rsidRPr="008963A7" w14:paraId="56633EF3" w14:textId="77777777">
        <w:trPr>
          <w:trHeight w:val="515"/>
        </w:trPr>
        <w:tc>
          <w:tcPr>
            <w:tcW w:w="0" w:type="auto"/>
            <w:tcMar>
              <w:top w:w="100" w:type="dxa"/>
              <w:left w:w="100" w:type="dxa"/>
              <w:bottom w:w="100" w:type="dxa"/>
              <w:right w:w="100" w:type="dxa"/>
            </w:tcMar>
            <w:hideMark/>
          </w:tcPr>
          <w:p w14:paraId="3DB4053F" w14:textId="77777777" w:rsidR="00A15643" w:rsidRPr="008963A7" w:rsidRDefault="00A15643" w:rsidP="00A15643">
            <w:pPr>
              <w:rPr>
                <w:sz w:val="20"/>
                <w:szCs w:val="20"/>
              </w:rPr>
            </w:pPr>
            <w:r w:rsidRPr="008963A7">
              <w:rPr>
                <w:sz w:val="20"/>
                <w:szCs w:val="20"/>
              </w:rPr>
              <w:t>#9 Gordon, "Abbott says yes," 2 May 2013</w:t>
            </w:r>
          </w:p>
        </w:tc>
        <w:tc>
          <w:tcPr>
            <w:tcW w:w="0" w:type="auto"/>
            <w:tcMar>
              <w:top w:w="100" w:type="dxa"/>
              <w:left w:w="100" w:type="dxa"/>
              <w:bottom w:w="100" w:type="dxa"/>
              <w:right w:w="100" w:type="dxa"/>
            </w:tcMar>
            <w:hideMark/>
          </w:tcPr>
          <w:p w14:paraId="3E3A1C7A" w14:textId="77777777" w:rsidR="00A15643" w:rsidRPr="008963A7" w:rsidRDefault="00A15643" w:rsidP="00A15643">
            <w:pPr>
              <w:rPr>
                <w:sz w:val="20"/>
                <w:szCs w:val="20"/>
              </w:rPr>
            </w:pPr>
            <w:r w:rsidRPr="008963A7">
              <w:rPr>
                <w:sz w:val="20"/>
                <w:szCs w:val="20"/>
              </w:rPr>
              <w:t>3, 4</w:t>
            </w:r>
          </w:p>
        </w:tc>
      </w:tr>
      <w:tr w:rsidR="00A15643" w:rsidRPr="008963A7" w14:paraId="5575313D" w14:textId="77777777">
        <w:trPr>
          <w:trHeight w:val="515"/>
        </w:trPr>
        <w:tc>
          <w:tcPr>
            <w:tcW w:w="0" w:type="auto"/>
            <w:tcMar>
              <w:top w:w="100" w:type="dxa"/>
              <w:left w:w="100" w:type="dxa"/>
              <w:bottom w:w="100" w:type="dxa"/>
              <w:right w:w="100" w:type="dxa"/>
            </w:tcMar>
            <w:hideMark/>
          </w:tcPr>
          <w:p w14:paraId="3872C6D2" w14:textId="77777777" w:rsidR="00A15643" w:rsidRPr="008963A7" w:rsidRDefault="00A15643" w:rsidP="00A15643">
            <w:pPr>
              <w:rPr>
                <w:sz w:val="20"/>
                <w:szCs w:val="20"/>
              </w:rPr>
            </w:pPr>
            <w:r w:rsidRPr="008963A7">
              <w:rPr>
                <w:sz w:val="20"/>
                <w:szCs w:val="20"/>
              </w:rPr>
              <w:t>#10 Griffiths submission, 21 Dec 2012</w:t>
            </w:r>
          </w:p>
        </w:tc>
        <w:tc>
          <w:tcPr>
            <w:tcW w:w="0" w:type="auto"/>
            <w:tcMar>
              <w:top w:w="100" w:type="dxa"/>
              <w:left w:w="100" w:type="dxa"/>
              <w:bottom w:w="100" w:type="dxa"/>
              <w:right w:w="100" w:type="dxa"/>
            </w:tcMar>
            <w:hideMark/>
          </w:tcPr>
          <w:p w14:paraId="26423843" w14:textId="77777777" w:rsidR="00A15643" w:rsidRPr="008963A7" w:rsidRDefault="00A15643" w:rsidP="00A15643">
            <w:pPr>
              <w:rPr>
                <w:sz w:val="20"/>
                <w:szCs w:val="20"/>
              </w:rPr>
            </w:pPr>
            <w:r w:rsidRPr="008963A7">
              <w:rPr>
                <w:sz w:val="20"/>
                <w:szCs w:val="20"/>
              </w:rPr>
              <w:t>8, 15d</w:t>
            </w:r>
          </w:p>
        </w:tc>
      </w:tr>
      <w:tr w:rsidR="00A15643" w:rsidRPr="008963A7" w14:paraId="78DF9AE4" w14:textId="77777777">
        <w:trPr>
          <w:trHeight w:val="515"/>
        </w:trPr>
        <w:tc>
          <w:tcPr>
            <w:tcW w:w="0" w:type="auto"/>
            <w:tcMar>
              <w:top w:w="100" w:type="dxa"/>
              <w:left w:w="100" w:type="dxa"/>
              <w:bottom w:w="100" w:type="dxa"/>
              <w:right w:w="100" w:type="dxa"/>
            </w:tcMar>
            <w:hideMark/>
          </w:tcPr>
          <w:p w14:paraId="0BEED545" w14:textId="77777777" w:rsidR="00A15643" w:rsidRPr="008963A7" w:rsidRDefault="00A15643" w:rsidP="00A15643">
            <w:pPr>
              <w:rPr>
                <w:sz w:val="20"/>
                <w:szCs w:val="20"/>
              </w:rPr>
            </w:pPr>
            <w:r w:rsidRPr="008963A7">
              <w:rPr>
                <w:sz w:val="20"/>
                <w:szCs w:val="20"/>
              </w:rPr>
              <w:t>#11 NRHA submission, 1 Feb 2013</w:t>
            </w:r>
          </w:p>
        </w:tc>
        <w:tc>
          <w:tcPr>
            <w:tcW w:w="0" w:type="auto"/>
            <w:tcMar>
              <w:top w:w="100" w:type="dxa"/>
              <w:left w:w="100" w:type="dxa"/>
              <w:bottom w:w="100" w:type="dxa"/>
              <w:right w:w="100" w:type="dxa"/>
            </w:tcMar>
            <w:hideMark/>
          </w:tcPr>
          <w:p w14:paraId="64785EF4" w14:textId="77777777" w:rsidR="00A15643" w:rsidRPr="008963A7" w:rsidRDefault="00A15643" w:rsidP="00A15643">
            <w:pPr>
              <w:rPr>
                <w:sz w:val="20"/>
                <w:szCs w:val="20"/>
              </w:rPr>
            </w:pPr>
            <w:r w:rsidRPr="008963A7">
              <w:rPr>
                <w:sz w:val="20"/>
                <w:szCs w:val="20"/>
              </w:rPr>
              <w:t>8, 15e</w:t>
            </w:r>
          </w:p>
        </w:tc>
      </w:tr>
      <w:tr w:rsidR="00A15643" w:rsidRPr="008963A7" w14:paraId="7F3E920E" w14:textId="77777777">
        <w:trPr>
          <w:trHeight w:val="515"/>
        </w:trPr>
        <w:tc>
          <w:tcPr>
            <w:tcW w:w="0" w:type="auto"/>
            <w:tcMar>
              <w:top w:w="100" w:type="dxa"/>
              <w:left w:w="100" w:type="dxa"/>
              <w:bottom w:w="100" w:type="dxa"/>
              <w:right w:w="100" w:type="dxa"/>
            </w:tcMar>
            <w:hideMark/>
          </w:tcPr>
          <w:p w14:paraId="35461E61" w14:textId="77777777" w:rsidR="00A15643" w:rsidRPr="008963A7" w:rsidRDefault="00A15643" w:rsidP="00A15643">
            <w:pPr>
              <w:rPr>
                <w:sz w:val="20"/>
                <w:szCs w:val="20"/>
              </w:rPr>
            </w:pPr>
            <w:r w:rsidRPr="008963A7">
              <w:rPr>
                <w:sz w:val="20"/>
                <w:szCs w:val="20"/>
              </w:rPr>
              <w:t>#12 ParlInfo, Government response</w:t>
            </w:r>
          </w:p>
        </w:tc>
        <w:tc>
          <w:tcPr>
            <w:tcW w:w="0" w:type="auto"/>
            <w:tcMar>
              <w:top w:w="100" w:type="dxa"/>
              <w:left w:w="100" w:type="dxa"/>
              <w:bottom w:w="100" w:type="dxa"/>
              <w:right w:w="100" w:type="dxa"/>
            </w:tcMar>
            <w:hideMark/>
          </w:tcPr>
          <w:p w14:paraId="5E084B53" w14:textId="77777777" w:rsidR="00A15643" w:rsidRPr="008963A7" w:rsidRDefault="00A15643" w:rsidP="00A15643">
            <w:pPr>
              <w:rPr>
                <w:sz w:val="20"/>
                <w:szCs w:val="20"/>
              </w:rPr>
            </w:pPr>
            <w:r w:rsidRPr="008963A7">
              <w:rPr>
                <w:sz w:val="20"/>
                <w:szCs w:val="20"/>
              </w:rPr>
              <w:t>1 (context)</w:t>
            </w:r>
          </w:p>
        </w:tc>
      </w:tr>
      <w:tr w:rsidR="00A15643" w:rsidRPr="008963A7" w14:paraId="0DDB20F8" w14:textId="77777777">
        <w:trPr>
          <w:trHeight w:val="515"/>
        </w:trPr>
        <w:tc>
          <w:tcPr>
            <w:tcW w:w="0" w:type="auto"/>
            <w:tcMar>
              <w:top w:w="100" w:type="dxa"/>
              <w:left w:w="100" w:type="dxa"/>
              <w:bottom w:w="100" w:type="dxa"/>
              <w:right w:w="100" w:type="dxa"/>
            </w:tcMar>
            <w:hideMark/>
          </w:tcPr>
          <w:p w14:paraId="5240D37C" w14:textId="77777777" w:rsidR="00A15643" w:rsidRPr="008963A7" w:rsidRDefault="00A15643" w:rsidP="00A15643">
            <w:pPr>
              <w:rPr>
                <w:sz w:val="20"/>
                <w:szCs w:val="20"/>
              </w:rPr>
            </w:pPr>
            <w:r w:rsidRPr="008963A7">
              <w:rPr>
                <w:sz w:val="20"/>
                <w:szCs w:val="20"/>
              </w:rPr>
              <w:t>#13 NDIA, Intergovernmental agreements</w:t>
            </w:r>
          </w:p>
          <w:p w14:paraId="1E761A4D" w14:textId="1C53D493" w:rsidR="006D2AEB" w:rsidRPr="008963A7" w:rsidRDefault="00D66EF1" w:rsidP="00A15643">
            <w:pPr>
              <w:rPr>
                <w:sz w:val="20"/>
                <w:szCs w:val="20"/>
              </w:rPr>
            </w:pPr>
            <w:r w:rsidRPr="008963A7">
              <w:rPr>
                <w:sz w:val="20"/>
                <w:szCs w:val="20"/>
              </w:rPr>
              <w:t>AuSSA 2009 / Borlagdan et al. 2015 — 12</w:t>
            </w:r>
            <w:r w:rsidRPr="008963A7">
              <w:rPr>
                <w:sz w:val="20"/>
                <w:szCs w:val="20"/>
              </w:rPr>
              <w:br/>
              <w:t>Dickinson &amp; Carey 2019 — 12</w:t>
            </w:r>
          </w:p>
        </w:tc>
        <w:tc>
          <w:tcPr>
            <w:tcW w:w="0" w:type="auto"/>
            <w:tcMar>
              <w:top w:w="100" w:type="dxa"/>
              <w:left w:w="100" w:type="dxa"/>
              <w:bottom w:w="100" w:type="dxa"/>
              <w:right w:w="100" w:type="dxa"/>
            </w:tcMar>
            <w:hideMark/>
          </w:tcPr>
          <w:p w14:paraId="33DBAF26" w14:textId="77777777" w:rsidR="00A15643" w:rsidRPr="008963A7" w:rsidRDefault="00A15643" w:rsidP="00A15643">
            <w:pPr>
              <w:rPr>
                <w:sz w:val="20"/>
                <w:szCs w:val="20"/>
              </w:rPr>
            </w:pPr>
            <w:r w:rsidRPr="008963A7">
              <w:rPr>
                <w:sz w:val="20"/>
                <w:szCs w:val="20"/>
              </w:rPr>
              <w:t>1, 2, 9, 10, 11</w:t>
            </w:r>
          </w:p>
        </w:tc>
      </w:tr>
    </w:tbl>
    <w:p w14:paraId="2A8C8D9B" w14:textId="77777777" w:rsidR="00A15643" w:rsidRPr="008963A7" w:rsidRDefault="00A15643" w:rsidP="00A15643">
      <w:pPr>
        <w:rPr>
          <w:b/>
          <w:bCs/>
          <w:sz w:val="20"/>
          <w:szCs w:val="20"/>
        </w:rPr>
      </w:pPr>
      <w:r w:rsidRPr="008963A7">
        <w:rPr>
          <w:b/>
          <w:bCs/>
          <w:sz w:val="20"/>
          <w:szCs w:val="20"/>
        </w:rPr>
        <w:t>OBSERVATION</w:t>
      </w:r>
    </w:p>
    <w:p w14:paraId="6D214008" w14:textId="77777777" w:rsidR="00A15643" w:rsidRPr="008963A7" w:rsidRDefault="00A15643" w:rsidP="00A15643">
      <w:pPr>
        <w:rPr>
          <w:sz w:val="20"/>
          <w:szCs w:val="20"/>
        </w:rPr>
      </w:pPr>
      <w:r w:rsidRPr="008963A7">
        <w:rPr>
          <w:sz w:val="20"/>
          <w:szCs w:val="20"/>
        </w:rPr>
        <w:t>Evidence is well-distributed across all 13 sources: the heaviest contributors (#1, #6, #3, #13) each anchor 5–7 of 15 entries, reflecting their roles as foundational government-record and outcome-documentation sources, while five sources (#4, #8, #9, #10, #11) each contribute narrowly but distinctly — providing academic context, opposition/contestation voices, and two genuinely individual-level coalition-partner sources (citizen submission, sector-specific peak body) not duplicated elsewhere. Source #12 contributes minimal direct coding evidence on its own (largely corroborating #1) but is retained as a distinct government-record artifact.</w:t>
      </w:r>
    </w:p>
    <w:p w14:paraId="2FA2731C" w14:textId="77777777" w:rsidR="00A15643" w:rsidRPr="008963A7" w:rsidRDefault="00A15643" w:rsidP="00A15643">
      <w:pPr>
        <w:rPr>
          <w:b/>
          <w:bCs/>
          <w:sz w:val="20"/>
          <w:szCs w:val="20"/>
        </w:rPr>
      </w:pPr>
      <w:r w:rsidRPr="008963A7">
        <w:rPr>
          <w:b/>
          <w:bCs/>
          <w:sz w:val="20"/>
          <w:szCs w:val="20"/>
        </w:rPr>
        <w:t>CASE-LEVEL SUMMARY</w:t>
      </w:r>
    </w:p>
    <w:p w14:paraId="0626CAEC" w14:textId="77777777" w:rsidR="00A15643" w:rsidRPr="008963A7" w:rsidRDefault="00A15643" w:rsidP="00A15643">
      <w:pPr>
        <w:rPr>
          <w:sz w:val="20"/>
          <w:szCs w:val="20"/>
        </w:rPr>
      </w:pPr>
      <w:r w:rsidRPr="008963A7">
        <w:rPr>
          <w:b/>
          <w:bCs/>
          <w:sz w:val="20"/>
          <w:szCs w:val="20"/>
        </w:rPr>
        <w:t>Low confidence / insufficient:</w:t>
      </w:r>
    </w:p>
    <w:p w14:paraId="194379BB" w14:textId="77777777" w:rsidR="00A15643" w:rsidRPr="008963A7" w:rsidRDefault="00A15643" w:rsidP="00043AF9">
      <w:pPr>
        <w:numPr>
          <w:ilvl w:val="0"/>
          <w:numId w:val="4"/>
        </w:numPr>
        <w:rPr>
          <w:sz w:val="20"/>
          <w:szCs w:val="20"/>
        </w:rPr>
      </w:pPr>
      <w:r w:rsidRPr="008963A7">
        <w:rPr>
          <w:sz w:val="20"/>
          <w:szCs w:val="20"/>
        </w:rPr>
        <w:t>Public sentiment starting point — Insufficient evidence despite a targeted search; case runs on 13 variables.</w:t>
      </w:r>
    </w:p>
    <w:p w14:paraId="4CA1C50A" w14:textId="77777777" w:rsidR="00A15643" w:rsidRPr="008963A7" w:rsidRDefault="00A15643" w:rsidP="00A15643">
      <w:pPr>
        <w:rPr>
          <w:sz w:val="20"/>
          <w:szCs w:val="20"/>
        </w:rPr>
      </w:pPr>
      <w:r w:rsidRPr="008963A7">
        <w:rPr>
          <w:b/>
          <w:bCs/>
          <w:sz w:val="20"/>
          <w:szCs w:val="20"/>
        </w:rPr>
        <w:t>Medium confidence:</w:t>
      </w:r>
    </w:p>
    <w:p w14:paraId="7510DCC2" w14:textId="77777777" w:rsidR="00A15643" w:rsidRPr="008963A7" w:rsidRDefault="00A15643" w:rsidP="00043AF9">
      <w:pPr>
        <w:numPr>
          <w:ilvl w:val="0"/>
          <w:numId w:val="5"/>
        </w:numPr>
        <w:rPr>
          <w:sz w:val="20"/>
          <w:szCs w:val="20"/>
        </w:rPr>
      </w:pPr>
      <w:r w:rsidRPr="008963A7">
        <w:rPr>
          <w:sz w:val="20"/>
          <w:szCs w:val="20"/>
        </w:rPr>
        <w:t>Economic disruption required — clearly evidenced as low-to-moderate at the legislative level, but no source directly quantifies disruption to existing state-based service providers.</w:t>
      </w:r>
    </w:p>
    <w:p w14:paraId="22F1ED4C" w14:textId="77777777" w:rsidR="00A15643" w:rsidRPr="008963A7" w:rsidRDefault="00A15643" w:rsidP="00043AF9">
      <w:pPr>
        <w:numPr>
          <w:ilvl w:val="0"/>
          <w:numId w:val="5"/>
        </w:numPr>
        <w:rPr>
          <w:sz w:val="20"/>
          <w:szCs w:val="20"/>
        </w:rPr>
      </w:pPr>
      <w:r w:rsidRPr="008963A7">
        <w:rPr>
          <w:sz w:val="20"/>
          <w:szCs w:val="20"/>
        </w:rPr>
        <w:t>Narrative dominance — strong evidence for institutional/governmental adoption of the framing, but no source tracks broader public narrative dominance specifically.</w:t>
      </w:r>
    </w:p>
    <w:p w14:paraId="362948F6" w14:textId="77777777" w:rsidR="00A15643" w:rsidRPr="008963A7" w:rsidRDefault="00A15643" w:rsidP="00A15643">
      <w:pPr>
        <w:rPr>
          <w:sz w:val="20"/>
          <w:szCs w:val="20"/>
        </w:rPr>
      </w:pPr>
      <w:r w:rsidRPr="008963A7">
        <w:rPr>
          <w:b/>
          <w:bCs/>
          <w:sz w:val="20"/>
          <w:szCs w:val="20"/>
        </w:rPr>
        <w:t>Phase 1/4 exception use:</w:t>
      </w:r>
      <w:r w:rsidRPr="008963A7">
        <w:rPr>
          <w:sz w:val="20"/>
          <w:szCs w:val="20"/>
        </w:rPr>
        <w:t xml:space="preserve"> None required. Legal/regulatory landscape and Narrative dominance were both coded entirely from in-window locked sources (#1, #6) without reaching outside the locked set.</w:t>
      </w:r>
    </w:p>
    <w:p w14:paraId="68E0E2BA" w14:textId="77777777" w:rsidR="00A15643" w:rsidRPr="008963A7" w:rsidRDefault="00A15643" w:rsidP="00A15643">
      <w:pPr>
        <w:rPr>
          <w:b/>
          <w:bCs/>
          <w:sz w:val="20"/>
          <w:szCs w:val="20"/>
        </w:rPr>
      </w:pPr>
      <w:r w:rsidRPr="008963A7">
        <w:rPr>
          <w:b/>
          <w:bCs/>
          <w:sz w:val="20"/>
          <w:szCs w:val="20"/>
        </w:rPr>
        <w:t>OVERALL CASE CONFIDENCE/QUALITY FLAG</w:t>
      </w:r>
    </w:p>
    <w:p w14:paraId="1666DFDA" w14:textId="77777777" w:rsidR="00A15643" w:rsidRPr="008963A7" w:rsidRDefault="00A15643" w:rsidP="00A15643">
      <w:pPr>
        <w:rPr>
          <w:sz w:val="20"/>
          <w:szCs w:val="20"/>
        </w:rPr>
      </w:pPr>
      <w:r w:rsidRPr="008963A7">
        <w:rPr>
          <w:b/>
          <w:bCs/>
          <w:sz w:val="20"/>
          <w:szCs w:val="20"/>
        </w:rPr>
        <w:t>High.</w:t>
      </w:r>
      <w:r w:rsidRPr="008963A7">
        <w:rPr>
          <w:sz w:val="20"/>
          <w:szCs w:val="20"/>
        </w:rPr>
        <w:t xml:space="preserve"> 12 of 14 substantive variables sit at High confidence, two at Medium, and one genuine structural gap (Public sentiment). Source diversity spans a government-commissioned inquiry, the campaign's own primary framing documents, an independent professional-services economic report, peer-reviewed-adjacent academic commentary, a ministerial parliamentary speech, a 268-page Senate Committee report with cross-party membership and a dissenting Greens section, independent journalism, an individual citizen's own formal submission, and a sector-specific peak body's submission — covering all four required source categories with unusual depth for a single-country legislative-origin case. The campaign resolved cleanly within the window (legislation passed, IGA signed), so no Mixed/Unresolved coding was needed anywhere.</w:t>
      </w:r>
    </w:p>
    <w:p w14:paraId="03A65F5A" w14:textId="77777777" w:rsidR="00A15643" w:rsidRPr="008963A7" w:rsidRDefault="00A15643" w:rsidP="00A15643">
      <w:pPr>
        <w:rPr>
          <w:b/>
          <w:bCs/>
          <w:sz w:val="20"/>
          <w:szCs w:val="20"/>
        </w:rPr>
      </w:pPr>
      <w:r w:rsidRPr="008963A7">
        <w:rPr>
          <w:b/>
          <w:bCs/>
          <w:sz w:val="20"/>
          <w:szCs w:val="20"/>
        </w:rPr>
        <w:lastRenderedPageBreak/>
        <w:t>HINDSIGHT NOTES</w:t>
      </w:r>
    </w:p>
    <w:p w14:paraId="20A4B92B" w14:textId="77777777" w:rsidR="00A15643" w:rsidRPr="008963A7" w:rsidRDefault="00A15643" w:rsidP="00043AF9">
      <w:pPr>
        <w:numPr>
          <w:ilvl w:val="0"/>
          <w:numId w:val="6"/>
        </w:numPr>
        <w:rPr>
          <w:sz w:val="20"/>
          <w:szCs w:val="20"/>
        </w:rPr>
      </w:pPr>
      <w:r w:rsidRPr="008963A7">
        <w:rPr>
          <w:sz w:val="20"/>
          <w:szCs w:val="20"/>
        </w:rPr>
        <w:t>Hindsight note: Scale of change achieved — the post-2013 staged national rollout (additional state agreements, eventual full national coverage, and the NDIS's significant cost growth beyond original projections) would likely complicate this case's "scale" coding considerably if extended beyond the locked window; not used in coding above, consistent with the deliberate origin-only scoping decision for this case.</w:t>
      </w:r>
    </w:p>
    <w:p w14:paraId="6A60664F" w14:textId="77777777" w:rsidR="00A15643" w:rsidRPr="008963A7" w:rsidRDefault="00A15643" w:rsidP="00043AF9">
      <w:pPr>
        <w:numPr>
          <w:ilvl w:val="0"/>
          <w:numId w:val="6"/>
        </w:numPr>
        <w:rPr>
          <w:sz w:val="20"/>
          <w:szCs w:val="20"/>
        </w:rPr>
      </w:pPr>
      <w:r w:rsidRPr="008963A7">
        <w:rPr>
          <w:sz w:val="20"/>
          <w:szCs w:val="20"/>
        </w:rPr>
        <w:t>Hindsight note: Strength/Type of opposition — later, post-2013 critiques of NDIS cost blowouts and subsequent government-led reform/restriction efforts (visible in the Category B 2024/2026 sources) suggest opposition dynamics shifted substantially in the following decade; not used in coding above, as this falls outside the locked 2011–2013 window.</w:t>
      </w:r>
    </w:p>
    <w:p w14:paraId="0F41CDAD" w14:textId="77777777" w:rsidR="00A15643" w:rsidRPr="008963A7" w:rsidRDefault="00A15643" w:rsidP="00043AF9">
      <w:pPr>
        <w:numPr>
          <w:ilvl w:val="0"/>
          <w:numId w:val="6"/>
        </w:numPr>
        <w:rPr>
          <w:sz w:val="20"/>
          <w:szCs w:val="20"/>
        </w:rPr>
      </w:pPr>
      <w:r w:rsidRPr="008963A7">
        <w:rPr>
          <w:sz w:val="20"/>
          <w:szCs w:val="20"/>
        </w:rPr>
        <w:t>No hindsight notes applicable for Public sentiment starting point — gap is structural (no baseline source exists in the locked set), not resolvable by later evidence.</w:t>
      </w:r>
    </w:p>
    <w:p w14:paraId="0F4215B6" w14:textId="77777777" w:rsidR="00DB58B4" w:rsidRDefault="00DB58B4" w:rsidP="00DB58B4"/>
    <w:p w14:paraId="59D12A8F" w14:textId="5F39D420" w:rsidR="00DB58B4" w:rsidRDefault="00DB58B4" w:rsidP="00DB58B4">
      <w:pPr>
        <w:pStyle w:val="Heading1"/>
      </w:pPr>
      <w:r>
        <w:t xml:space="preserve">CASE 17: </w:t>
      </w:r>
      <w:r w:rsidR="003C0E0B">
        <w:t>Australian mandatory detention campaign</w:t>
      </w:r>
    </w:p>
    <w:p w14:paraId="16E12B6B" w14:textId="77777777" w:rsidR="000A2DF2" w:rsidRPr="000A2DF2" w:rsidRDefault="000A2DF2" w:rsidP="000A2DF2">
      <w:pPr>
        <w:rPr>
          <w:b/>
          <w:bCs/>
          <w:sz w:val="20"/>
          <w:szCs w:val="20"/>
        </w:rPr>
      </w:pPr>
      <w:r w:rsidRPr="000A2DF2">
        <w:rPr>
          <w:sz w:val="20"/>
          <w:szCs w:val="20"/>
        </w:rPr>
        <w:t>LIST B — EVIDENCE / CONFIDENCE / SOURCE TAG</w:t>
      </w:r>
    </w:p>
    <w:p w14:paraId="574B7772" w14:textId="77777777" w:rsidR="000A2DF2" w:rsidRPr="000A2DF2" w:rsidRDefault="000A2DF2" w:rsidP="00043AF9">
      <w:pPr>
        <w:numPr>
          <w:ilvl w:val="0"/>
          <w:numId w:val="50"/>
        </w:numPr>
        <w:rPr>
          <w:sz w:val="20"/>
          <w:szCs w:val="20"/>
        </w:rPr>
      </w:pPr>
      <w:r w:rsidRPr="000A2DF2">
        <w:rPr>
          <w:sz w:val="20"/>
          <w:szCs w:val="20"/>
        </w:rPr>
        <w:t>Target type</w:t>
      </w:r>
      <w:r w:rsidRPr="000A2DF2">
        <w:rPr>
          <w:sz w:val="20"/>
          <w:szCs w:val="20"/>
        </w:rPr>
        <w:br/>
        <w:t xml:space="preserve"> Evidence: Source 1 (NMA Tampa affair) confirms the Howard government as the primary decision-maker, legislating retrospectively via the Border Protection Bill 2001. Source 2 (Reilly, The Conversation) confirms Parliament as the secondary target, with the Pacific Solution enacted via Migration Act amendments.</w:t>
      </w:r>
      <w:r w:rsidRPr="000A2DF2">
        <w:rPr>
          <w:sz w:val="20"/>
          <w:szCs w:val="20"/>
        </w:rPr>
        <w:br/>
        <w:t xml:space="preserve"> Confidence: High.</w:t>
      </w:r>
      <w:r w:rsidRPr="000A2DF2">
        <w:rPr>
          <w:sz w:val="20"/>
          <w:szCs w:val="20"/>
        </w:rPr>
        <w:br/>
        <w:t xml:space="preserve"> Source Tag: Sources 1, 2.</w:t>
      </w:r>
    </w:p>
    <w:p w14:paraId="05322683" w14:textId="77777777" w:rsidR="000A2DF2" w:rsidRPr="000A2DF2" w:rsidRDefault="000A2DF2" w:rsidP="00043AF9">
      <w:pPr>
        <w:numPr>
          <w:ilvl w:val="0"/>
          <w:numId w:val="50"/>
        </w:numPr>
        <w:rPr>
          <w:sz w:val="20"/>
          <w:szCs w:val="20"/>
        </w:rPr>
      </w:pPr>
      <w:r w:rsidRPr="000A2DF2">
        <w:rPr>
          <w:sz w:val="20"/>
          <w:szCs w:val="20"/>
        </w:rPr>
        <w:t>Concentration of decision-making power</w:t>
      </w:r>
      <w:r w:rsidRPr="000A2DF2">
        <w:rPr>
          <w:sz w:val="20"/>
          <w:szCs w:val="20"/>
        </w:rPr>
        <w:br/>
        <w:t xml:space="preserve"> Evidence: Source 2 (Reilly) documents executive decision-making concentrated in Howard/Ruddock. Source 7 (SafeCom/Georgiou) confirms that meaningful dissent was limited to three Liberal backbenchers — Georgiou, Moylan, Broadbent — and that Howard had absolute Senate control from July 2005. Source 3 (McAllister) confirms bipartisan Labor support for the basic detention architecture.</w:t>
      </w:r>
      <w:r w:rsidRPr="000A2DF2">
        <w:rPr>
          <w:sz w:val="20"/>
          <w:szCs w:val="20"/>
        </w:rPr>
        <w:br/>
        <w:t xml:space="preserve"> Confidence: High.</w:t>
      </w:r>
      <w:r w:rsidRPr="000A2DF2">
        <w:rPr>
          <w:sz w:val="20"/>
          <w:szCs w:val="20"/>
        </w:rPr>
        <w:br/>
        <w:t xml:space="preserve"> Source Tag: Sources 2, 3, 7.</w:t>
      </w:r>
    </w:p>
    <w:p w14:paraId="6FFC17C0" w14:textId="77777777" w:rsidR="000A2DF2" w:rsidRPr="000A2DF2" w:rsidRDefault="000A2DF2" w:rsidP="00043AF9">
      <w:pPr>
        <w:numPr>
          <w:ilvl w:val="0"/>
          <w:numId w:val="50"/>
        </w:numPr>
        <w:rPr>
          <w:sz w:val="20"/>
          <w:szCs w:val="20"/>
        </w:rPr>
      </w:pPr>
      <w:r w:rsidRPr="000A2DF2">
        <w:rPr>
          <w:sz w:val="20"/>
          <w:szCs w:val="20"/>
        </w:rPr>
        <w:t>Strength of opposition</w:t>
      </w:r>
      <w:r w:rsidRPr="000A2DF2">
        <w:rPr>
          <w:sz w:val="20"/>
          <w:szCs w:val="20"/>
        </w:rPr>
        <w:br/>
        <w:t xml:space="preserve"> Evidence: Source 3 (McAllister) documents Howard's landslide 2001 re-election driven partly by the Tampa crisis, confirming strong electoral mandate. Source 1 (NMA) documents the retrospective Border Protection legislation passed within days of the Tampa. Source 11 (Goot &amp; Watson) confirms sustained majority public support for tough border protection in early campaign years.</w:t>
      </w:r>
      <w:r w:rsidRPr="000A2DF2">
        <w:rPr>
          <w:sz w:val="20"/>
          <w:szCs w:val="20"/>
        </w:rPr>
        <w:br/>
        <w:t xml:space="preserve"> Confidence: High — opposition strength directly evidenced by electoral result and legislative speed.</w:t>
      </w:r>
      <w:r w:rsidRPr="000A2DF2">
        <w:rPr>
          <w:sz w:val="20"/>
          <w:szCs w:val="20"/>
        </w:rPr>
        <w:br/>
        <w:t xml:space="preserve"> Source Tag: Sources 1, 3, 11.</w:t>
      </w:r>
    </w:p>
    <w:p w14:paraId="35280860" w14:textId="77777777" w:rsidR="000A2DF2" w:rsidRPr="000A2DF2" w:rsidRDefault="000A2DF2" w:rsidP="00043AF9">
      <w:pPr>
        <w:numPr>
          <w:ilvl w:val="0"/>
          <w:numId w:val="50"/>
        </w:numPr>
        <w:rPr>
          <w:sz w:val="20"/>
          <w:szCs w:val="20"/>
        </w:rPr>
      </w:pPr>
      <w:r w:rsidRPr="000A2DF2">
        <w:rPr>
          <w:sz w:val="20"/>
          <w:szCs w:val="20"/>
        </w:rPr>
        <w:t>Type of opposition</w:t>
      </w:r>
      <w:r w:rsidRPr="000A2DF2">
        <w:rPr>
          <w:sz w:val="20"/>
          <w:szCs w:val="20"/>
        </w:rPr>
        <w:br/>
        <w:t xml:space="preserve"> Evidence: Source 8 (UNSW Law) documents the legal architecture — excision of migration zone, retrospective legislation, removal of judicial review. Source 1 (NMA) documents the media management strategy (restricted access to Nauru/Christmas Island). Source 2 (Reilly) documents the "illegal"/"queue jumper" narrative strategy. Source 3 (McAllister) documents Labor's bipartisan cover.</w:t>
      </w:r>
      <w:r w:rsidRPr="000A2DF2">
        <w:rPr>
          <w:sz w:val="20"/>
          <w:szCs w:val="20"/>
        </w:rPr>
        <w:br/>
        <w:t xml:space="preserve"> Confidence: High — multiple distinct opposition mechanisms directly evidenced.</w:t>
      </w:r>
      <w:r w:rsidRPr="000A2DF2">
        <w:rPr>
          <w:sz w:val="20"/>
          <w:szCs w:val="20"/>
        </w:rPr>
        <w:br/>
        <w:t xml:space="preserve"> Source Tag: Sources 1, 2, 3, 8.</w:t>
      </w:r>
    </w:p>
    <w:p w14:paraId="5BD62CCE" w14:textId="77777777" w:rsidR="000A2DF2" w:rsidRPr="000A2DF2" w:rsidRDefault="000A2DF2" w:rsidP="00043AF9">
      <w:pPr>
        <w:numPr>
          <w:ilvl w:val="0"/>
          <w:numId w:val="50"/>
        </w:numPr>
        <w:rPr>
          <w:sz w:val="20"/>
          <w:szCs w:val="20"/>
        </w:rPr>
      </w:pPr>
      <w:r w:rsidRPr="000A2DF2">
        <w:rPr>
          <w:sz w:val="20"/>
          <w:szCs w:val="20"/>
        </w:rPr>
        <w:t>Visibility of harm to the public</w:t>
      </w:r>
      <w:r w:rsidRPr="000A2DF2">
        <w:rPr>
          <w:sz w:val="20"/>
          <w:szCs w:val="20"/>
        </w:rPr>
        <w:br/>
        <w:t xml:space="preserve"> Evidence: Source 4 (AHRC A Last Resort?) documents 700+ children in detention by November 2001, specific cases of severe psychological harm, and the deliberate use of remote locations to remove detainees from public view. Source 6 (Solidarity Online) documents the Woomera conditions (hunger strikes, lip-sewing, self-harm) and the deliberate isolation strategy. Source 10 (Senate SIEV-X chapter) documents the 353 deaths in the October </w:t>
      </w:r>
      <w:r w:rsidRPr="000A2DF2">
        <w:rPr>
          <w:sz w:val="20"/>
          <w:szCs w:val="20"/>
        </w:rPr>
        <w:lastRenderedPageBreak/>
        <w:t>2001 sinking — an acute visibility event that occurred during the election campaign.</w:t>
      </w:r>
      <w:r w:rsidRPr="000A2DF2">
        <w:rPr>
          <w:sz w:val="20"/>
          <w:szCs w:val="20"/>
        </w:rPr>
        <w:br/>
        <w:t xml:space="preserve"> Confidence: High — multiple independent sources across government inquiry, parliamentary record, and journalism.</w:t>
      </w:r>
      <w:r w:rsidRPr="000A2DF2">
        <w:rPr>
          <w:sz w:val="20"/>
          <w:szCs w:val="20"/>
        </w:rPr>
        <w:br/>
        <w:t xml:space="preserve"> Source Tag: Sources 4, 6, 10.</w:t>
      </w:r>
    </w:p>
    <w:p w14:paraId="4281C42F" w14:textId="77777777" w:rsidR="000A2DF2" w:rsidRPr="000A2DF2" w:rsidRDefault="000A2DF2" w:rsidP="00043AF9">
      <w:pPr>
        <w:numPr>
          <w:ilvl w:val="0"/>
          <w:numId w:val="50"/>
        </w:numPr>
        <w:rPr>
          <w:sz w:val="20"/>
          <w:szCs w:val="20"/>
        </w:rPr>
      </w:pPr>
      <w:r w:rsidRPr="000A2DF2">
        <w:rPr>
          <w:sz w:val="20"/>
          <w:szCs w:val="20"/>
        </w:rPr>
        <w:t>Degree of behaviour change required</w:t>
      </w:r>
      <w:r w:rsidRPr="000A2DF2">
        <w:rPr>
          <w:sz w:val="20"/>
          <w:szCs w:val="20"/>
        </w:rPr>
        <w:br/>
        <w:t xml:space="preserve"> Evidence: Source 3 (McAllister) documents the electoral mandate behind the policy. Source 11 (Goot &amp; Watson) documents sustained majority public support for border protection in 2001–2003. Source 7 (SafeCom/Georgiou) confirms that even supportive Liberal MPs could only extract limited concessions after sustained multi-year pressure.</w:t>
      </w:r>
      <w:r w:rsidRPr="000A2DF2">
        <w:rPr>
          <w:sz w:val="20"/>
          <w:szCs w:val="20"/>
        </w:rPr>
        <w:br/>
        <w:t xml:space="preserve"> Confidence: High — the difficulty of change directly evidenced by the six-year campaign timeline and limited concessions achieved.</w:t>
      </w:r>
      <w:r w:rsidRPr="000A2DF2">
        <w:rPr>
          <w:sz w:val="20"/>
          <w:szCs w:val="20"/>
        </w:rPr>
        <w:br/>
        <w:t xml:space="preserve"> Source Tag: Sources 3, 7, 11.</w:t>
      </w:r>
    </w:p>
    <w:p w14:paraId="075027C1" w14:textId="77777777" w:rsidR="000A2DF2" w:rsidRPr="000A2DF2" w:rsidRDefault="000A2DF2" w:rsidP="00043AF9">
      <w:pPr>
        <w:numPr>
          <w:ilvl w:val="0"/>
          <w:numId w:val="50"/>
        </w:numPr>
        <w:rPr>
          <w:sz w:val="20"/>
          <w:szCs w:val="20"/>
        </w:rPr>
      </w:pPr>
      <w:r w:rsidRPr="000A2DF2">
        <w:rPr>
          <w:sz w:val="20"/>
          <w:szCs w:val="20"/>
        </w:rPr>
        <w:t>Role of policy vs market pressure vs cultural shift</w:t>
      </w:r>
      <w:r w:rsidRPr="000A2DF2">
        <w:rPr>
          <w:sz w:val="20"/>
          <w:szCs w:val="20"/>
        </w:rPr>
        <w:br/>
        <w:t xml:space="preserve"> Evidence: Source 2 (Reilly) confirms the Pacific Solution was dismantled by legislative and executive action under Rudd — a policy mechanism. Source 12 (AHRC 40 Years) confirms the 2005 Migration Act amendment (children detained only as last resort) was a legislative concession. No source documents market pressure as a mechanism.</w:t>
      </w:r>
      <w:r w:rsidRPr="000A2DF2">
        <w:rPr>
          <w:sz w:val="20"/>
          <w:szCs w:val="20"/>
        </w:rPr>
        <w:br/>
        <w:t xml:space="preserve"> Confidence: High.</w:t>
      </w:r>
      <w:r w:rsidRPr="000A2DF2">
        <w:rPr>
          <w:sz w:val="20"/>
          <w:szCs w:val="20"/>
        </w:rPr>
        <w:br/>
        <w:t xml:space="preserve"> Source Tag: Sources 2, 12.</w:t>
      </w:r>
    </w:p>
    <w:p w14:paraId="2911C113" w14:textId="77777777" w:rsidR="000A2DF2" w:rsidRPr="000A2DF2" w:rsidRDefault="000A2DF2" w:rsidP="00043AF9">
      <w:pPr>
        <w:numPr>
          <w:ilvl w:val="0"/>
          <w:numId w:val="50"/>
        </w:numPr>
        <w:rPr>
          <w:sz w:val="20"/>
          <w:szCs w:val="20"/>
        </w:rPr>
      </w:pPr>
      <w:r w:rsidRPr="000A2DF2">
        <w:rPr>
          <w:sz w:val="20"/>
          <w:szCs w:val="20"/>
        </w:rPr>
        <w:t>Coalition size, type, and presence of non-obvious allies</w:t>
      </w:r>
      <w:r w:rsidRPr="000A2DF2">
        <w:rPr>
          <w:sz w:val="20"/>
          <w:szCs w:val="20"/>
        </w:rPr>
        <w:br/>
        <w:t xml:space="preserve"> Evidence: Source 5 (SafeCom/Smit) documents 120+ refugee support groups and describes the coalition as "the largest rainbow coalition since the Vietnam War." Source 6 (Solidarity Online) documents Refugee Action Collective structure and union coalition-building. Source 7 (SafeCom/Georgiou) documents ASRC as a non-obvious institutional ally supporting Liberal backbenchers. Source 9 (HRW) documents international coalition — HRW, UNHCR — as non-obvious allies providing international legitimacy.</w:t>
      </w:r>
      <w:r w:rsidRPr="000A2DF2">
        <w:rPr>
          <w:sz w:val="20"/>
          <w:szCs w:val="20"/>
        </w:rPr>
        <w:br/>
        <w:t xml:space="preserve"> Confidence: Medium — coalition breadth described by advocacy-actor sources; independent corroboration of specific coalition composition is limited.</w:t>
      </w:r>
      <w:r w:rsidRPr="000A2DF2">
        <w:rPr>
          <w:sz w:val="20"/>
          <w:szCs w:val="20"/>
        </w:rPr>
        <w:br/>
        <w:t xml:space="preserve"> Source Tag: Sources 5, 6, 7, 9.</w:t>
      </w:r>
    </w:p>
    <w:p w14:paraId="2928C4F4" w14:textId="77777777" w:rsidR="000A2DF2" w:rsidRPr="000A2DF2" w:rsidRDefault="000A2DF2" w:rsidP="00043AF9">
      <w:pPr>
        <w:numPr>
          <w:ilvl w:val="0"/>
          <w:numId w:val="50"/>
        </w:numPr>
        <w:rPr>
          <w:sz w:val="20"/>
          <w:szCs w:val="20"/>
        </w:rPr>
      </w:pPr>
      <w:r w:rsidRPr="000A2DF2">
        <w:rPr>
          <w:sz w:val="20"/>
          <w:szCs w:val="20"/>
        </w:rPr>
        <w:t>Economic disruption required</w:t>
      </w:r>
      <w:r w:rsidRPr="000A2DF2">
        <w:rPr>
          <w:sz w:val="20"/>
          <w:szCs w:val="20"/>
        </w:rPr>
        <w:br/>
        <w:t xml:space="preserve"> Evidence: Source 2 (Reilly) notes the Pacific Solution cost Australia over AU$1 billion 2001–2007. No source documents economic disruption as a campaign mechanism. The economic cost argument is noted in academic literature as a supplementary argument but not a primary campaign lever.</w:t>
      </w:r>
      <w:r w:rsidRPr="000A2DF2">
        <w:rPr>
          <w:sz w:val="20"/>
          <w:szCs w:val="20"/>
        </w:rPr>
        <w:br/>
        <w:t xml:space="preserve"> Confidence: High — absence of economic disruption mechanism consistently evidenced across all sources.</w:t>
      </w:r>
      <w:r w:rsidRPr="000A2DF2">
        <w:rPr>
          <w:sz w:val="20"/>
          <w:szCs w:val="20"/>
        </w:rPr>
        <w:br/>
        <w:t xml:space="preserve"> Source Tag: Source 2.</w:t>
      </w:r>
    </w:p>
    <w:p w14:paraId="1C189052" w14:textId="77777777" w:rsidR="000A2DF2" w:rsidRPr="000A2DF2" w:rsidRDefault="000A2DF2" w:rsidP="00043AF9">
      <w:pPr>
        <w:numPr>
          <w:ilvl w:val="0"/>
          <w:numId w:val="50"/>
        </w:numPr>
        <w:rPr>
          <w:sz w:val="20"/>
          <w:szCs w:val="20"/>
        </w:rPr>
      </w:pPr>
      <w:r w:rsidRPr="000A2DF2">
        <w:rPr>
          <w:sz w:val="20"/>
          <w:szCs w:val="20"/>
        </w:rPr>
        <w:t>Speed of change achieved</w:t>
      </w:r>
      <w:r w:rsidRPr="000A2DF2">
        <w:rPr>
          <w:sz w:val="20"/>
          <w:szCs w:val="20"/>
        </w:rPr>
        <w:br/>
        <w:t xml:space="preserve"> Evidence: Source 1 (NMA) confirms Tampa 26 August 2001 as window start. Source 7 (SafeCom/Georgiou) confirms children's release and Migration Act amendment July 2005 as the first partial win. Source 12 (AHRC 40 Years) confirms Pacific Solution closure 2008 (post-window). Source 2 (Reilly) confirms Rudd election 24 November 2007 as window close. Six-year arc from start to electoral win.</w:t>
      </w:r>
      <w:r w:rsidRPr="000A2DF2">
        <w:rPr>
          <w:sz w:val="20"/>
          <w:szCs w:val="20"/>
        </w:rPr>
        <w:br/>
        <w:t xml:space="preserve"> Confidence: High — all key dates precisely evidenced.</w:t>
      </w:r>
      <w:r w:rsidRPr="000A2DF2">
        <w:rPr>
          <w:sz w:val="20"/>
          <w:szCs w:val="20"/>
        </w:rPr>
        <w:br/>
        <w:t xml:space="preserve"> Source Tag: Sources 1, 2, 7, 12.</w:t>
      </w:r>
    </w:p>
    <w:p w14:paraId="75655ECC" w14:textId="77777777" w:rsidR="000A2DF2" w:rsidRPr="000A2DF2" w:rsidRDefault="000A2DF2" w:rsidP="00043AF9">
      <w:pPr>
        <w:numPr>
          <w:ilvl w:val="0"/>
          <w:numId w:val="50"/>
        </w:numPr>
        <w:rPr>
          <w:sz w:val="20"/>
          <w:szCs w:val="20"/>
        </w:rPr>
      </w:pPr>
      <w:r w:rsidRPr="000A2DF2">
        <w:rPr>
          <w:sz w:val="20"/>
          <w:szCs w:val="20"/>
        </w:rPr>
        <w:t>Scale of change achieved</w:t>
      </w:r>
      <w:r w:rsidRPr="000A2DF2">
        <w:rPr>
          <w:sz w:val="20"/>
          <w:szCs w:val="20"/>
        </w:rPr>
        <w:br/>
        <w:t xml:space="preserve"> Evidence: Source 12 (AHRC 40 Years) documents the two in-window wins: Migration Act amendment 2005 (children as last resort) and gradual release of children from high-security detention. Source 2 (Reilly) confirms the Pacific Solution was dismantled by Rudd — but notes mandatory detention remained enshrined in law. Source 4 (A Last Resort?) documents that 92% of children who arrived by boat were eventually found to be genuine refugees — framing the scale of harm the partial win addressed.</w:t>
      </w:r>
      <w:r w:rsidRPr="000A2DF2">
        <w:rPr>
          <w:sz w:val="20"/>
          <w:szCs w:val="20"/>
        </w:rPr>
        <w:br/>
        <w:t xml:space="preserve"> Confidence: High — both what was achieved and what was not are directly evidenced.</w:t>
      </w:r>
      <w:r w:rsidRPr="000A2DF2">
        <w:rPr>
          <w:sz w:val="20"/>
          <w:szCs w:val="20"/>
        </w:rPr>
        <w:br/>
        <w:t xml:space="preserve"> Source Tag: Sources 2, 4, 12.</w:t>
      </w:r>
    </w:p>
    <w:p w14:paraId="4CF29D1D" w14:textId="77777777" w:rsidR="000A2DF2" w:rsidRPr="000A2DF2" w:rsidRDefault="000A2DF2" w:rsidP="00043AF9">
      <w:pPr>
        <w:numPr>
          <w:ilvl w:val="0"/>
          <w:numId w:val="50"/>
        </w:numPr>
        <w:rPr>
          <w:sz w:val="20"/>
          <w:szCs w:val="20"/>
        </w:rPr>
      </w:pPr>
      <w:r w:rsidRPr="000A2DF2">
        <w:rPr>
          <w:sz w:val="20"/>
          <w:szCs w:val="20"/>
        </w:rPr>
        <w:lastRenderedPageBreak/>
        <w:t>Public sentiment starting point</w:t>
      </w:r>
      <w:r w:rsidRPr="000A2DF2">
        <w:rPr>
          <w:sz w:val="20"/>
          <w:szCs w:val="20"/>
        </w:rPr>
        <w:br/>
        <w:t xml:space="preserve"> Evidence: Source 3 (McAllister 2003) documents the Newspoll figure immediately post-Tampa (September 2001): 50% supported turning back all boats, only 9% thought all boats should be allowed in. Source 11 (Goot &amp; Watson 2011) provides the longitudinal arc: sustained majority support for border protection 2001–2003, gradual erosion from 2004 driven by A Last Resort?, Cornelia Rau, and sustained advocacy, with opinion sufficiently shifted by 2007 for Rudd's more humane platform to be electorally viable.</w:t>
      </w:r>
      <w:r w:rsidRPr="000A2DF2">
        <w:rPr>
          <w:sz w:val="20"/>
          <w:szCs w:val="20"/>
        </w:rPr>
        <w:br/>
        <w:t xml:space="preserve"> Confidence: High — peer-reviewed academic source (McAllister) and Parliamentary Library synthesis (Goot &amp; Watson) both directly evidence the starting point and shift.</w:t>
      </w:r>
      <w:r w:rsidRPr="000A2DF2">
        <w:rPr>
          <w:sz w:val="20"/>
          <w:szCs w:val="20"/>
        </w:rPr>
        <w:br/>
        <w:t xml:space="preserve"> Source Tag: Sources 3, 11.</w:t>
      </w:r>
    </w:p>
    <w:p w14:paraId="128235AF" w14:textId="77777777" w:rsidR="000A2DF2" w:rsidRPr="000A2DF2" w:rsidRDefault="000A2DF2" w:rsidP="00043AF9">
      <w:pPr>
        <w:numPr>
          <w:ilvl w:val="0"/>
          <w:numId w:val="50"/>
        </w:numPr>
        <w:rPr>
          <w:sz w:val="20"/>
          <w:szCs w:val="20"/>
        </w:rPr>
      </w:pPr>
      <w:r w:rsidRPr="000A2DF2">
        <w:rPr>
          <w:sz w:val="20"/>
          <w:szCs w:val="20"/>
        </w:rPr>
        <w:t>Legal/regulatory landscape</w:t>
      </w:r>
      <w:r w:rsidRPr="000A2DF2">
        <w:rPr>
          <w:sz w:val="20"/>
          <w:szCs w:val="20"/>
        </w:rPr>
        <w:br/>
        <w:t xml:space="preserve"> Evidence: Source 8 (UNSW Law) documents the full legal architecture — Ruddock v Vadarlis confirming executive power, retrospective Border Protection Act, Migration Zone excision removing judicial review. Source 9 (HRW letter, October 2001) documents the international human rights law breaches — ICCPR Article 9, Refugee Convention non-refoulement obligations — establishing the gap between domestic legal architecture and international obligations that the campaign exploited.</w:t>
      </w:r>
      <w:r w:rsidRPr="000A2DF2">
        <w:rPr>
          <w:sz w:val="20"/>
          <w:szCs w:val="20"/>
        </w:rPr>
        <w:br/>
        <w:t xml:space="preserve"> Confidence: High — legal architecture directly evidenced from academic and primary international advocacy sources.</w:t>
      </w:r>
      <w:r w:rsidRPr="000A2DF2">
        <w:rPr>
          <w:sz w:val="20"/>
          <w:szCs w:val="20"/>
        </w:rPr>
        <w:br/>
        <w:t xml:space="preserve"> Source Tag: Sources 8, 9.</w:t>
      </w:r>
    </w:p>
    <w:p w14:paraId="28522D61" w14:textId="77777777" w:rsidR="000A2DF2" w:rsidRPr="000A2DF2" w:rsidRDefault="000A2DF2" w:rsidP="00043AF9">
      <w:pPr>
        <w:numPr>
          <w:ilvl w:val="0"/>
          <w:numId w:val="50"/>
        </w:numPr>
        <w:rPr>
          <w:sz w:val="20"/>
          <w:szCs w:val="20"/>
        </w:rPr>
      </w:pPr>
      <w:r w:rsidRPr="000A2DF2">
        <w:rPr>
          <w:sz w:val="20"/>
          <w:szCs w:val="20"/>
        </w:rPr>
        <w:t>Narrative dominance</w:t>
      </w:r>
      <w:r w:rsidRPr="000A2DF2">
        <w:rPr>
          <w:sz w:val="20"/>
          <w:szCs w:val="20"/>
        </w:rPr>
        <w:br/>
        <w:t xml:space="preserve"> Evidence: Source 3 (McAllister) documents Howard's dominant "we will decide" framing and its electoral success in 2001. Source 1 (NMA) documents the government's narrative management including media access restrictions. Source 6 (Solidarity Online) documents the gradual narrative shift from 2002 onward — Woomera generating media coverage that reframed the debate. Source 11 (Goot &amp; Watson) documents the opinion shift by 2005–2007 confirming the government's narrative had eroded sufficiently for an electoral challenge.</w:t>
      </w:r>
      <w:r w:rsidRPr="000A2DF2">
        <w:rPr>
          <w:sz w:val="20"/>
          <w:szCs w:val="20"/>
        </w:rPr>
        <w:br/>
        <w:t xml:space="preserve"> Confidence: High — dominant starting position and gradual erosion both evidenced.</w:t>
      </w:r>
      <w:r w:rsidRPr="000A2DF2">
        <w:rPr>
          <w:sz w:val="20"/>
          <w:szCs w:val="20"/>
        </w:rPr>
        <w:br/>
        <w:t xml:space="preserve"> Source Tag: Sources 1, 3, 6, 11.</w:t>
      </w:r>
    </w:p>
    <w:p w14:paraId="73A39B8E" w14:textId="77777777" w:rsidR="000A2DF2" w:rsidRPr="000A2DF2" w:rsidRDefault="000A2DF2" w:rsidP="00043AF9">
      <w:pPr>
        <w:numPr>
          <w:ilvl w:val="0"/>
          <w:numId w:val="50"/>
        </w:numPr>
        <w:rPr>
          <w:sz w:val="20"/>
          <w:szCs w:val="20"/>
        </w:rPr>
      </w:pPr>
      <w:r w:rsidRPr="000A2DF2">
        <w:rPr>
          <w:sz w:val="20"/>
          <w:szCs w:val="20"/>
        </w:rPr>
        <w:t>Notable Tactics</w:t>
      </w:r>
    </w:p>
    <w:p w14:paraId="66939510" w14:textId="77777777" w:rsidR="000A2DF2" w:rsidRPr="000A2DF2" w:rsidRDefault="000A2DF2" w:rsidP="000A2DF2">
      <w:pPr>
        <w:rPr>
          <w:sz w:val="20"/>
          <w:szCs w:val="20"/>
        </w:rPr>
      </w:pPr>
      <w:r w:rsidRPr="000A2DF2">
        <w:rPr>
          <w:sz w:val="20"/>
          <w:szCs w:val="20"/>
        </w:rPr>
        <w:t>a. Institutional inquiry as campaign tool</w:t>
      </w:r>
      <w:r w:rsidRPr="000A2DF2">
        <w:rPr>
          <w:sz w:val="20"/>
          <w:szCs w:val="20"/>
        </w:rPr>
        <w:br/>
        <w:t xml:space="preserve"> Evidence: Source 4 (AHRC A Last Resort?) is itself the primary artifact of this tactic — a 900-page government inquiry report produced after advocacy groups channelled evidence into the process from 2001–2004. Source 12 (AHRC 40 Years) confirms the report "transformed public awareness" and "ignited a raft of reforms." The inquiry was announced November 2001, conducted throughout 2002 with 340+ submissions, and tabled in Parliament May 2004.</w:t>
      </w:r>
      <w:r w:rsidRPr="000A2DF2">
        <w:rPr>
          <w:sz w:val="20"/>
          <w:szCs w:val="20"/>
        </w:rPr>
        <w:br/>
        <w:t xml:space="preserve"> Confidence: High — directly evidenced in two independent AHRC sources.</w:t>
      </w:r>
      <w:r w:rsidRPr="000A2DF2">
        <w:rPr>
          <w:sz w:val="20"/>
          <w:szCs w:val="20"/>
        </w:rPr>
        <w:br/>
        <w:t xml:space="preserve"> Source Tag: Sources 4, 12.</w:t>
      </w:r>
    </w:p>
    <w:p w14:paraId="46CA7807" w14:textId="77777777" w:rsidR="000A2DF2" w:rsidRPr="000A2DF2" w:rsidRDefault="000A2DF2" w:rsidP="000A2DF2">
      <w:pPr>
        <w:rPr>
          <w:sz w:val="20"/>
          <w:szCs w:val="20"/>
        </w:rPr>
      </w:pPr>
      <w:r w:rsidRPr="000A2DF2">
        <w:rPr>
          <w:sz w:val="20"/>
          <w:szCs w:val="20"/>
        </w:rPr>
        <w:t>b. Physical convergence on detention centres</w:t>
      </w:r>
      <w:r w:rsidRPr="000A2DF2">
        <w:rPr>
          <w:sz w:val="20"/>
          <w:szCs w:val="20"/>
        </w:rPr>
        <w:br/>
        <w:t xml:space="preserve"> Evidence: Source 6 (Solidarity Online) documents the Easter 2002 Woomera convergence in detail — 1,000 activists, fence breach, 50 refugee escapes, national media frenzy — and explicitly documents the strategic intent: "to make those inside know they were not alone" and generate media coverage of conditions. Source 5 (SafeCom/Smit) corroborates the convergence as part of the organised civil response.</w:t>
      </w:r>
      <w:r w:rsidRPr="000A2DF2">
        <w:rPr>
          <w:sz w:val="20"/>
          <w:szCs w:val="20"/>
        </w:rPr>
        <w:br/>
        <w:t xml:space="preserve"> Confidence: High — directly evidenced with specific figures and strategic intent.</w:t>
      </w:r>
      <w:r w:rsidRPr="000A2DF2">
        <w:rPr>
          <w:sz w:val="20"/>
          <w:szCs w:val="20"/>
        </w:rPr>
        <w:br/>
        <w:t xml:space="preserve"> Source Tag: Sources 5, 6.</w:t>
      </w:r>
    </w:p>
    <w:p w14:paraId="606B8FFD" w14:textId="77777777" w:rsidR="000A2DF2" w:rsidRPr="000A2DF2" w:rsidRDefault="000A2DF2" w:rsidP="000A2DF2">
      <w:pPr>
        <w:rPr>
          <w:sz w:val="20"/>
          <w:szCs w:val="20"/>
        </w:rPr>
      </w:pPr>
      <w:r w:rsidRPr="000A2DF2">
        <w:rPr>
          <w:sz w:val="20"/>
          <w:szCs w:val="20"/>
        </w:rPr>
        <w:t>c. Legal challenge cascade</w:t>
      </w:r>
      <w:r w:rsidRPr="000A2DF2">
        <w:rPr>
          <w:sz w:val="20"/>
          <w:szCs w:val="20"/>
        </w:rPr>
        <w:br/>
        <w:t xml:space="preserve"> Evidence: Source 8 (UNSW Law) documents the Victorian Council for Civil Liberties case (initially ordering release), the Ruddock v Vadarlis appeal, and the government's response — retrospective legislation to close the legal gap. The cascade of challenges is documented as generating media coverage that reframed asylum seekers as rights-bearing individuals.</w:t>
      </w:r>
      <w:r w:rsidRPr="000A2DF2">
        <w:rPr>
          <w:sz w:val="20"/>
          <w:szCs w:val="20"/>
        </w:rPr>
        <w:br/>
        <w:t xml:space="preserve"> Confidence: High — legal record directly evidenced.</w:t>
      </w:r>
      <w:r w:rsidRPr="000A2DF2">
        <w:rPr>
          <w:sz w:val="20"/>
          <w:szCs w:val="20"/>
        </w:rPr>
        <w:br/>
        <w:t xml:space="preserve"> Source Tag: Source 8.</w:t>
      </w:r>
    </w:p>
    <w:p w14:paraId="197FC8E2" w14:textId="77777777" w:rsidR="000A2DF2" w:rsidRPr="000A2DF2" w:rsidRDefault="000A2DF2" w:rsidP="000A2DF2">
      <w:pPr>
        <w:rPr>
          <w:sz w:val="20"/>
          <w:szCs w:val="20"/>
        </w:rPr>
      </w:pPr>
      <w:r w:rsidRPr="000A2DF2">
        <w:rPr>
          <w:sz w:val="20"/>
          <w:szCs w:val="20"/>
        </w:rPr>
        <w:t>d. Inside-outside parliamentary strategy</w:t>
      </w:r>
      <w:r w:rsidRPr="000A2DF2">
        <w:rPr>
          <w:sz w:val="20"/>
          <w:szCs w:val="20"/>
        </w:rPr>
        <w:br/>
        <w:t xml:space="preserve"> Evidence: Source 7 (SafeCom/Georgiou) explicitly documents ASRC and SafeCom supporting the Georgiou/Moylan private member's bills, framing it as a deliberate inside-outside strategy. The bills proposed 3-monthly detention review, </w:t>
      </w:r>
      <w:r w:rsidRPr="000A2DF2">
        <w:rPr>
          <w:sz w:val="20"/>
          <w:szCs w:val="20"/>
        </w:rPr>
        <w:lastRenderedPageBreak/>
        <w:t>children detained only as last resort, and release of long-term detainees — directly mirroring campaign demands.</w:t>
      </w:r>
      <w:r w:rsidRPr="000A2DF2">
        <w:rPr>
          <w:sz w:val="20"/>
          <w:szCs w:val="20"/>
        </w:rPr>
        <w:br/>
        <w:t xml:space="preserve"> Confidence: High — strategy directly documented in primary campaign actor source.</w:t>
      </w:r>
      <w:r w:rsidRPr="000A2DF2">
        <w:rPr>
          <w:sz w:val="20"/>
          <w:szCs w:val="20"/>
        </w:rPr>
        <w:br/>
        <w:t xml:space="preserve"> Source Tag: Source 7.</w:t>
      </w:r>
    </w:p>
    <w:p w14:paraId="564A5620" w14:textId="77777777" w:rsidR="000A2DF2" w:rsidRPr="000A2DF2" w:rsidRDefault="000A2DF2" w:rsidP="000A2DF2">
      <w:pPr>
        <w:rPr>
          <w:sz w:val="20"/>
          <w:szCs w:val="20"/>
        </w:rPr>
      </w:pPr>
      <w:r w:rsidRPr="000A2DF2">
        <w:rPr>
          <w:sz w:val="20"/>
          <w:szCs w:val="20"/>
        </w:rPr>
        <w:t>e. International legitimacy anchoring</w:t>
      </w:r>
      <w:r w:rsidRPr="000A2DF2">
        <w:rPr>
          <w:sz w:val="20"/>
          <w:szCs w:val="20"/>
        </w:rPr>
        <w:br/>
        <w:t xml:space="preserve"> Evidence: Source 9 (HRW letter, October 2001) is itself an artifact of this tactic — an international human rights organisation writing formally to the Prime Minister within weeks of Tampa, framing Australia's actions as violating international law. Source 1 (NMA) references the Nansen Award to Captain Rinnan (2002) as international recognition of the humanitarian dimension the campaign sought to amplify.</w:t>
      </w:r>
      <w:r w:rsidRPr="000A2DF2">
        <w:rPr>
          <w:sz w:val="20"/>
          <w:szCs w:val="20"/>
        </w:rPr>
        <w:br/>
        <w:t xml:space="preserve"> Confidence: High — HRW letter directly verified; Nansen Award independently corroborated.</w:t>
      </w:r>
      <w:r w:rsidRPr="000A2DF2">
        <w:rPr>
          <w:sz w:val="20"/>
          <w:szCs w:val="20"/>
        </w:rPr>
        <w:br/>
        <w:t xml:space="preserve"> Source Tag: Sources 1, 9.</w:t>
      </w:r>
    </w:p>
    <w:p w14:paraId="5AD59E6B" w14:textId="77777777" w:rsidR="000A2DF2" w:rsidRPr="000A2DF2" w:rsidRDefault="000A2DF2" w:rsidP="000A2DF2">
      <w:pPr>
        <w:rPr>
          <w:sz w:val="20"/>
          <w:szCs w:val="20"/>
        </w:rPr>
      </w:pPr>
      <w:r w:rsidRPr="000A2DF2">
        <w:rPr>
          <w:b/>
          <w:bCs/>
          <w:sz w:val="20"/>
          <w:szCs w:val="20"/>
        </w:rPr>
        <w:t>SOURCE-TO-VARIABLE MAPPING</w:t>
      </w:r>
    </w:p>
    <w:p w14:paraId="502B58E5" w14:textId="77777777" w:rsidR="000A2DF2" w:rsidRPr="000A2DF2" w:rsidRDefault="000A2DF2" w:rsidP="000A2DF2">
      <w:pPr>
        <w:rPr>
          <w:sz w:val="20"/>
          <w:szCs w:val="20"/>
        </w:rPr>
      </w:pPr>
      <w:r w:rsidRPr="000A2DF2">
        <w:rPr>
          <w:sz w:val="20"/>
          <w:szCs w:val="20"/>
        </w:rPr>
        <w:t>Source 1 (NMA Tampa affair) — 1, 3, 4, 5, 14, 15c, 15e</w:t>
      </w:r>
      <w:r w:rsidRPr="000A2DF2">
        <w:rPr>
          <w:sz w:val="20"/>
          <w:szCs w:val="20"/>
        </w:rPr>
        <w:br/>
        <w:t xml:space="preserve"> Source 2 (Reilly, The Conversation) — 1, 2, 4, 6, 7, 9, 10, 11</w:t>
      </w:r>
      <w:r w:rsidRPr="000A2DF2">
        <w:rPr>
          <w:sz w:val="20"/>
          <w:szCs w:val="20"/>
        </w:rPr>
        <w:br/>
        <w:t xml:space="preserve"> Source 3 (McAllister 2003) — 2, 3, 4, 6, 12, 14</w:t>
      </w:r>
      <w:r w:rsidRPr="000A2DF2">
        <w:rPr>
          <w:sz w:val="20"/>
          <w:szCs w:val="20"/>
        </w:rPr>
        <w:br/>
        <w:t xml:space="preserve"> Source 4 (AHRC A Last Resort? 2004) — 5, 11, 15a</w:t>
      </w:r>
      <w:r w:rsidRPr="000A2DF2">
        <w:rPr>
          <w:sz w:val="20"/>
          <w:szCs w:val="20"/>
        </w:rPr>
        <w:br/>
        <w:t xml:space="preserve"> Source 5 (SafeCom/Smit) — 8, 15b</w:t>
      </w:r>
      <w:r w:rsidRPr="000A2DF2">
        <w:rPr>
          <w:sz w:val="20"/>
          <w:szCs w:val="20"/>
        </w:rPr>
        <w:br/>
        <w:t xml:space="preserve"> Source 6 (Solidarity Online) — 5, 8, 14, 15b</w:t>
      </w:r>
      <w:r w:rsidRPr="000A2DF2">
        <w:rPr>
          <w:sz w:val="20"/>
          <w:szCs w:val="20"/>
        </w:rPr>
        <w:br/>
        <w:t xml:space="preserve"> Source 7 (SafeCom/Georgiou 2005) — 2, 6, 10, 15d</w:t>
      </w:r>
      <w:r w:rsidRPr="000A2DF2">
        <w:rPr>
          <w:sz w:val="20"/>
          <w:szCs w:val="20"/>
        </w:rPr>
        <w:br/>
        <w:t xml:space="preserve"> Source 8 (UNSW Law) — 4, 13, 15c</w:t>
      </w:r>
      <w:r w:rsidRPr="000A2DF2">
        <w:rPr>
          <w:sz w:val="20"/>
          <w:szCs w:val="20"/>
        </w:rPr>
        <w:br/>
        <w:t xml:space="preserve"> Source 9 (HRW letter 2001) — 8, 13, 15e</w:t>
      </w:r>
      <w:r w:rsidRPr="000A2DF2">
        <w:rPr>
          <w:sz w:val="20"/>
          <w:szCs w:val="20"/>
        </w:rPr>
        <w:br/>
        <w:t xml:space="preserve"> Source 10 (Senate SIEV-X chapter) — 5</w:t>
      </w:r>
      <w:r w:rsidRPr="000A2DF2">
        <w:rPr>
          <w:sz w:val="20"/>
          <w:szCs w:val="20"/>
        </w:rPr>
        <w:br/>
        <w:t xml:space="preserve"> Source 11 (Goot &amp; Watson 2011) — 3, 6, 12, 14</w:t>
      </w:r>
      <w:r w:rsidRPr="000A2DF2">
        <w:rPr>
          <w:sz w:val="20"/>
          <w:szCs w:val="20"/>
        </w:rPr>
        <w:br/>
        <w:t xml:space="preserve"> Source 12 (AHRC 40 Years) — 7, 10, 11, 15a</w:t>
      </w:r>
    </w:p>
    <w:p w14:paraId="15B25A29" w14:textId="77777777" w:rsidR="000A2DF2" w:rsidRPr="000A2DF2" w:rsidRDefault="000A2DF2" w:rsidP="000A2DF2">
      <w:pPr>
        <w:rPr>
          <w:sz w:val="20"/>
          <w:szCs w:val="20"/>
        </w:rPr>
      </w:pPr>
      <w:r w:rsidRPr="000A2DF2">
        <w:rPr>
          <w:b/>
          <w:bCs/>
          <w:sz w:val="20"/>
          <w:szCs w:val="20"/>
        </w:rPr>
        <w:t>OBSERVATION</w:t>
      </w:r>
    </w:p>
    <w:p w14:paraId="763982F3" w14:textId="77777777" w:rsidR="000A2DF2" w:rsidRPr="000A2DF2" w:rsidRDefault="000A2DF2" w:rsidP="000A2DF2">
      <w:pPr>
        <w:rPr>
          <w:sz w:val="20"/>
          <w:szCs w:val="20"/>
        </w:rPr>
      </w:pPr>
      <w:r w:rsidRPr="000A2DF2">
        <w:rPr>
          <w:sz w:val="20"/>
          <w:szCs w:val="20"/>
        </w:rPr>
        <w:t>Source concentration is notable: Sources 5, 6, and 7 are all advocacy-actor publications (SafeCom, Solidarity Online) which together anchor Variables 8, 15b, and 15d. These are corroborated where possible by independent sources — Source 4 (AHRC) for the Woomera conditions context, Source 9 (HRW) for the coalition's international dimension — but the campaign mechanics variables rely more heavily on advocacy-actor accounts than other cases in this dataset. This is a structural feature of a campaign that operated largely outside mainstream media coverage. Source 10 (Senate SIEV-X chapter) is the only primary government record of the most significant in-window visibility event; it is the most under-utilised source in this profile given data scarcity on this specific event.</w:t>
      </w:r>
    </w:p>
    <w:p w14:paraId="16D0615E" w14:textId="77777777" w:rsidR="000A2DF2" w:rsidRPr="000A2DF2" w:rsidRDefault="000A2DF2" w:rsidP="000A2DF2">
      <w:pPr>
        <w:rPr>
          <w:sz w:val="20"/>
          <w:szCs w:val="20"/>
        </w:rPr>
      </w:pPr>
      <w:r w:rsidRPr="000A2DF2">
        <w:rPr>
          <w:b/>
          <w:bCs/>
          <w:sz w:val="20"/>
          <w:szCs w:val="20"/>
        </w:rPr>
        <w:t>CASE-LEVEL SUMMARY</w:t>
      </w:r>
    </w:p>
    <w:p w14:paraId="53340340" w14:textId="77777777" w:rsidR="000A2DF2" w:rsidRPr="000A2DF2" w:rsidRDefault="000A2DF2" w:rsidP="000A2DF2">
      <w:pPr>
        <w:rPr>
          <w:sz w:val="20"/>
          <w:szCs w:val="20"/>
        </w:rPr>
      </w:pPr>
      <w:r w:rsidRPr="000A2DF2">
        <w:rPr>
          <w:sz w:val="20"/>
          <w:szCs w:val="20"/>
        </w:rPr>
        <w:t>Variables coded at Insufficient: None.</w:t>
      </w:r>
      <w:r w:rsidRPr="000A2DF2">
        <w:rPr>
          <w:sz w:val="20"/>
          <w:szCs w:val="20"/>
        </w:rPr>
        <w:br/>
        <w:t xml:space="preserve"> Variables coded at Medium confidence: Variable 8 (Coalition size) — breadth described by advocacy-actor sources without full independent corroboration of specific coalition composition.</w:t>
      </w:r>
      <w:r w:rsidRPr="000A2DF2">
        <w:rPr>
          <w:sz w:val="20"/>
          <w:szCs w:val="20"/>
        </w:rPr>
        <w:br/>
        <w:t xml:space="preserve"> Phase 1/4 exception used: None — all variable codings draw from in-window sources. Source 11 (Goot &amp; Watson 2011) is post-window but specifically covers polling data from within the window period; its use for Variable 12 is methodologically equivalent to using a post-window academic synthesis of in-window data, not a Phase 4 exception.</w:t>
      </w:r>
    </w:p>
    <w:p w14:paraId="0D6D9F9F" w14:textId="77777777" w:rsidR="000A2DF2" w:rsidRPr="000A2DF2" w:rsidRDefault="000A2DF2" w:rsidP="000A2DF2">
      <w:pPr>
        <w:rPr>
          <w:sz w:val="20"/>
          <w:szCs w:val="20"/>
        </w:rPr>
      </w:pPr>
      <w:r w:rsidRPr="000A2DF2">
        <w:rPr>
          <w:b/>
          <w:bCs/>
          <w:sz w:val="20"/>
          <w:szCs w:val="20"/>
        </w:rPr>
        <w:t>OVERALL CASE CONFIDENCE/QUALITY FLAG</w:t>
      </w:r>
      <w:r w:rsidRPr="000A2DF2">
        <w:rPr>
          <w:b/>
          <w:bCs/>
          <w:sz w:val="20"/>
          <w:szCs w:val="20"/>
        </w:rPr>
        <w:br/>
      </w:r>
      <w:r w:rsidRPr="000A2DF2">
        <w:rPr>
          <w:sz w:val="20"/>
          <w:szCs w:val="20"/>
        </w:rPr>
        <w:t xml:space="preserve"> High. Thirteen of fifteen substantive entries including all five Notable Tactics are at High confidence. Variable 8 is Medium. The source set spans peer-reviewed academic (Sources 3, 2), government inquiry (Source 4), parliamentary record (Source 10), international human rights (Source 9), legal academic (Source 8), Parliamentary Library synthesis (Source 11), institutional history (Sources 1, 12), and campaign-actor primary documents (Sources 5, 6, 7) — covering all four required source categories. The advocacy-actor source concentration in campaign mechanics variables is the primary structural caveat, clearly flagged.</w:t>
      </w:r>
    </w:p>
    <w:p w14:paraId="7CD44399" w14:textId="77777777" w:rsidR="000A2DF2" w:rsidRPr="000A2DF2" w:rsidRDefault="000A2DF2" w:rsidP="000A2DF2">
      <w:pPr>
        <w:rPr>
          <w:sz w:val="20"/>
          <w:szCs w:val="20"/>
        </w:rPr>
      </w:pPr>
      <w:r w:rsidRPr="000A2DF2">
        <w:rPr>
          <w:b/>
          <w:bCs/>
          <w:sz w:val="20"/>
          <w:szCs w:val="20"/>
        </w:rPr>
        <w:t>HINDSIGHT NOTES</w:t>
      </w:r>
    </w:p>
    <w:p w14:paraId="76323BB7" w14:textId="77777777" w:rsidR="000A2DF2" w:rsidRPr="000A2DF2" w:rsidRDefault="000A2DF2" w:rsidP="000A2DF2">
      <w:pPr>
        <w:rPr>
          <w:sz w:val="20"/>
          <w:szCs w:val="20"/>
        </w:rPr>
      </w:pPr>
      <w:r w:rsidRPr="000A2DF2">
        <w:rPr>
          <w:sz w:val="20"/>
          <w:szCs w:val="20"/>
        </w:rPr>
        <w:t xml:space="preserve">Variable 11 (Scale) — the post-window Rudd government reopened offshore detention on Nauru and Manus in 2012, confirming that the 2007–2008 win was temporary and the structural conditions the campaign sought to change were not </w:t>
      </w:r>
      <w:r w:rsidRPr="000A2DF2">
        <w:rPr>
          <w:sz w:val="20"/>
          <w:szCs w:val="20"/>
        </w:rPr>
        <w:lastRenderedPageBreak/>
        <w:t>durably altered. Not used in coding above but directly relevant to how this case should be framed in the matching engine — it is a case of partial, reversible change rather than structural transformation.</w:t>
      </w:r>
      <w:r w:rsidRPr="000A2DF2">
        <w:rPr>
          <w:sz w:val="20"/>
          <w:szCs w:val="20"/>
        </w:rPr>
        <w:br/>
        <w:t xml:space="preserve"> Variable 12 (Public sentiment) — the re-emergence of bipartisan support for offshore processing from 2012 onward, documented in Goot &amp; Watson and subsequent Scanlon Foundation surveys, confirms that the opinion shift achieved by 2007 was also not durable. Not used in coding above.</w:t>
      </w:r>
      <w:r w:rsidRPr="000A2DF2">
        <w:rPr>
          <w:sz w:val="20"/>
          <w:szCs w:val="20"/>
        </w:rPr>
        <w:br/>
        <w:t xml:space="preserve"> Variable 6 (Degree of behaviour change required) — the post-2012 trajectory confirms this was coded correctly as Very High — even a full government change (2007) only produced temporary policy change, suggesting the structural and electoral entrenchment of mandatory detention exceeded what standard advocacy campaigns can permanently shift.</w:t>
      </w:r>
    </w:p>
    <w:p w14:paraId="07659390" w14:textId="47D67DB2" w:rsidR="003C0E0B" w:rsidRDefault="003C0E0B" w:rsidP="003C0E0B">
      <w:pPr>
        <w:pStyle w:val="Heading1"/>
      </w:pPr>
      <w:r>
        <w:t>CASE 18: #EndSARS Nigeria police brutality campaign</w:t>
      </w:r>
    </w:p>
    <w:p w14:paraId="6141E3AF" w14:textId="77777777" w:rsidR="00AE3EFC" w:rsidRPr="00AE3EFC" w:rsidRDefault="00AE3EFC" w:rsidP="00AE3EFC">
      <w:pPr>
        <w:rPr>
          <w:sz w:val="20"/>
          <w:szCs w:val="20"/>
        </w:rPr>
      </w:pPr>
      <w:r w:rsidRPr="00AE3EFC">
        <w:rPr>
          <w:sz w:val="20"/>
          <w:szCs w:val="20"/>
        </w:rPr>
        <w:t>LIST B — EVIDENCE / CONFIDENCE / SOURCE TAG</w:t>
      </w:r>
    </w:p>
    <w:p w14:paraId="37C895BA" w14:textId="77777777" w:rsidR="00AE3EFC" w:rsidRPr="00AE3EFC" w:rsidRDefault="00AE3EFC" w:rsidP="00AE3EFC">
      <w:pPr>
        <w:numPr>
          <w:ilvl w:val="0"/>
          <w:numId w:val="55"/>
        </w:numPr>
        <w:rPr>
          <w:sz w:val="20"/>
          <w:szCs w:val="20"/>
        </w:rPr>
      </w:pPr>
      <w:r w:rsidRPr="00AE3EFC">
        <w:rPr>
          <w:sz w:val="20"/>
          <w:szCs w:val="20"/>
        </w:rPr>
        <w:t>Target type Evidence: Sources 4, 5, and 6 (Amnesty reports) direct demands explicitly to the Nigerian government and Inspector General of Police. Source 7 (Al Jazeera, 11 Oct) confirms disbandment was announced by the Inspector General and endorsed by the presidency. Sources 7 and 10 document the five-point demands as directed at government institutions. Confidence: High — multiple primary sources directly confirm the target. Source Tag: Sources 4, 5, 6, 7, 10.</w:t>
      </w:r>
    </w:p>
    <w:p w14:paraId="2524E2A7" w14:textId="77777777" w:rsidR="00AE3EFC" w:rsidRPr="00AE3EFC" w:rsidRDefault="00AE3EFC" w:rsidP="00AE3EFC">
      <w:pPr>
        <w:numPr>
          <w:ilvl w:val="0"/>
          <w:numId w:val="55"/>
        </w:numPr>
        <w:rPr>
          <w:sz w:val="20"/>
          <w:szCs w:val="20"/>
        </w:rPr>
      </w:pPr>
      <w:r w:rsidRPr="00AE3EFC">
        <w:rPr>
          <w:sz w:val="20"/>
          <w:szCs w:val="20"/>
        </w:rPr>
        <w:t>Concentration of decision-making power Evidence: Source 7 (Al Jazeera, 11 Oct) shows the Inspector General made the disbandment announcement with presidential endorsement. Source 6 (Amnesty, 6 Oct) documents prior instances where single officials made and broke reform commitments. Sources 7 and 10 document the five demands spanning multiple institutional actors — oversight commissions, Police Service Commission, National Human Rights Commission — showing the broader reform agenda required diffuse decision-making. Confidence: High — immediate ask was highly concentrated; structural reform ask was more diffuse; both directly evidenced. Source Tag: Sources 6, 7, 10.</w:t>
      </w:r>
    </w:p>
    <w:p w14:paraId="1317F198" w14:textId="77777777" w:rsidR="00AE3EFC" w:rsidRPr="00AE3EFC" w:rsidRDefault="00AE3EFC" w:rsidP="00AE3EFC">
      <w:pPr>
        <w:numPr>
          <w:ilvl w:val="0"/>
          <w:numId w:val="55"/>
        </w:numPr>
        <w:rPr>
          <w:sz w:val="20"/>
          <w:szCs w:val="20"/>
        </w:rPr>
      </w:pPr>
      <w:r w:rsidRPr="00AE3EFC">
        <w:rPr>
          <w:sz w:val="20"/>
          <w:szCs w:val="20"/>
        </w:rPr>
        <w:t>Strength of opposition Evidence: Source 8 (Amnesty, 21 Oct) documents the military opening fire on protesters at Lekki with CCTV cameras dismantled beforehand — demonstrating state capacity and willingness to use lethal force and suppress evidence. Source 13 (Rest of World) documents bank account closures and government pressure on fintech companies to stop processing protest donations. Source 6 (Amnesty, 6 Oct) documents a judicial commission whose findings were withheld for nearly two years. Confidence: High — direct evidence of state violence, financial suppression, and institutional obstruction across multiple verified sources. Source Tag: Sources 6, 8, 13, 14.</w:t>
      </w:r>
    </w:p>
    <w:p w14:paraId="189C0E4A" w14:textId="77777777" w:rsidR="00AE3EFC" w:rsidRPr="00AE3EFC" w:rsidRDefault="00AE3EFC" w:rsidP="00AE3EFC">
      <w:pPr>
        <w:numPr>
          <w:ilvl w:val="0"/>
          <w:numId w:val="55"/>
        </w:numPr>
        <w:rPr>
          <w:sz w:val="20"/>
          <w:szCs w:val="20"/>
        </w:rPr>
      </w:pPr>
      <w:r w:rsidRPr="00AE3EFC">
        <w:rPr>
          <w:sz w:val="20"/>
          <w:szCs w:val="20"/>
        </w:rPr>
        <w:t>Type of opposition Evidence: Source 8 (Amnesty, 21 Oct) confirms military lethal force at Lekki. Source 7 (Al Jazeera, 11 Oct) notes this was the fifth disbandment announcement since 2015 — establishing the co-optation pattern. Source 13 (Rest of World) documents bank account closures and payment platform pressure. Source 14 (Time) documents the SWAT rebranding as institutional replacement without structural change. Confidence: High — each type of opposition directly evidenced from separate verified sources. Source Tag: Sources 7, 8, 13, 14.</w:t>
      </w:r>
    </w:p>
    <w:p w14:paraId="35DCFDF5" w14:textId="77777777" w:rsidR="00AE3EFC" w:rsidRPr="00AE3EFC" w:rsidRDefault="00AE3EFC" w:rsidP="00AE3EFC">
      <w:pPr>
        <w:numPr>
          <w:ilvl w:val="0"/>
          <w:numId w:val="55"/>
        </w:numPr>
        <w:rPr>
          <w:sz w:val="20"/>
          <w:szCs w:val="20"/>
        </w:rPr>
      </w:pPr>
      <w:r w:rsidRPr="00AE3EFC">
        <w:rPr>
          <w:sz w:val="20"/>
          <w:szCs w:val="20"/>
        </w:rPr>
        <w:t>Visibility of harm to the public Evidence: Source 11 (Afrobarometer, Jan–Feb 2020) records 49% of Nigerians had direct police encounters; 77% of those who sought police assistance paid bribes; 61% viewed most/all police as corrupt. Source 10 (Foreign Policy) identifies the 3 October viral video of an alleged SARS killing in Delta State as the direct trigger for street protests. Source 9 (Al Jazeera history) documents firsthand accounts of personal SARS encounters from ordinary Nigerians. Confidence: High — Afrobarometer quantitative data directly measures public exposure; corroborated by qualitative firsthand accounts. Source Tag: Sources 9, 10, 11.</w:t>
      </w:r>
    </w:p>
    <w:p w14:paraId="7A076802" w14:textId="77777777" w:rsidR="00AE3EFC" w:rsidRPr="00AE3EFC" w:rsidRDefault="00AE3EFC" w:rsidP="00AE3EFC">
      <w:pPr>
        <w:numPr>
          <w:ilvl w:val="0"/>
          <w:numId w:val="55"/>
        </w:numPr>
        <w:rPr>
          <w:sz w:val="20"/>
          <w:szCs w:val="20"/>
        </w:rPr>
      </w:pPr>
      <w:r w:rsidRPr="00AE3EFC">
        <w:rPr>
          <w:sz w:val="20"/>
          <w:szCs w:val="20"/>
        </w:rPr>
        <w:t>Degree of behaviour change required Evidence: Sources 7 and 10 document the five-point demands: release of arrested protesters, justice and compensation for victims, independent prosecution body, psychological evaluation and retraining before redeployment, and salary increases. Source 5 (Amnesty, June 2020) notes that despite the 2017 Anti-Torture Act not a single officer had been prosecuted, establishing the depth of institutional change required. Confidence: High — demands explicitly documented; gap between formal law and practice establishes the scale of change required. Source Tag: Sources 5, 7, 10.</w:t>
      </w:r>
    </w:p>
    <w:p w14:paraId="092E03EC" w14:textId="77777777" w:rsidR="00AE3EFC" w:rsidRPr="00AE3EFC" w:rsidRDefault="00AE3EFC" w:rsidP="00AE3EFC">
      <w:pPr>
        <w:numPr>
          <w:ilvl w:val="0"/>
          <w:numId w:val="55"/>
        </w:numPr>
        <w:rPr>
          <w:sz w:val="20"/>
          <w:szCs w:val="20"/>
        </w:rPr>
      </w:pPr>
      <w:r w:rsidRPr="00AE3EFC">
        <w:rPr>
          <w:sz w:val="20"/>
          <w:szCs w:val="20"/>
        </w:rPr>
        <w:t xml:space="preserve">Role of policy vs market pressure vs cultural shift Evidence: The five demands (sources 7 and 10) are entirely policy-oriented: disbandment, prosecution mechanisms, oversight bodies, salary reform. Source 10 (Foreign </w:t>
      </w:r>
      <w:r w:rsidRPr="00AE3EFC">
        <w:rPr>
          <w:sz w:val="20"/>
          <w:szCs w:val="20"/>
        </w:rPr>
        <w:lastRenderedPageBreak/>
        <w:t>Policy) documents cross-ethnic, cross-religious youth solidarity as historically unusual in Nigerian politics. Source 12 (LSE blog) analyses the social media and civic culture dimensions of the movement. Confidence: High — policy primacy clear from documented demands; cultural shift dimension evidenced in sources 10 and 12. Source Tag: Sources 7, 10, 12.</w:t>
      </w:r>
    </w:p>
    <w:p w14:paraId="45593D7D" w14:textId="77777777" w:rsidR="00AE3EFC" w:rsidRPr="00AE3EFC" w:rsidRDefault="00AE3EFC" w:rsidP="00AE3EFC">
      <w:pPr>
        <w:numPr>
          <w:ilvl w:val="0"/>
          <w:numId w:val="55"/>
        </w:numPr>
        <w:rPr>
          <w:sz w:val="20"/>
          <w:szCs w:val="20"/>
        </w:rPr>
      </w:pPr>
      <w:r w:rsidRPr="00AE3EFC">
        <w:rPr>
          <w:sz w:val="20"/>
          <w:szCs w:val="20"/>
        </w:rPr>
        <w:t>Coalition size, type, and presence of non-obvious allies Evidence: Source 10 (Foreign Policy) documents cross-ethnic and cross-religious unity, religious leaders, small businesses, diaspora embassy protests, and musicians Falz and Runtown as organisers of the first street demonstration. Source 13 (Rest of World) documents fintech companies donating and Feminist Coalition raising $386,000. Source 9 (Al Jazeera history) documents Jack Dorsey, Beyoncé, Kanye West, and John Boyega as international amplifiers. Confidence: High — coalition composition directly documented across multiple independent sources; non-obvious allies named and their contributions evidenced. Source Tag: Sources 9, 10, 13.</w:t>
      </w:r>
    </w:p>
    <w:p w14:paraId="0B98CC90" w14:textId="77777777" w:rsidR="00AE3EFC" w:rsidRPr="00AE3EFC" w:rsidRDefault="00AE3EFC" w:rsidP="00AE3EFC">
      <w:pPr>
        <w:numPr>
          <w:ilvl w:val="0"/>
          <w:numId w:val="55"/>
        </w:numPr>
        <w:rPr>
          <w:sz w:val="20"/>
          <w:szCs w:val="20"/>
        </w:rPr>
      </w:pPr>
      <w:r w:rsidRPr="00AE3EFC">
        <w:rPr>
          <w:sz w:val="20"/>
          <w:szCs w:val="20"/>
        </w:rPr>
        <w:t>Economic disruption required Evidence: Source 14 (Time) documents that police officers are severely underpaid and underfunded — establishing that SARS extortion was economically functional for officers. Source 13 (Rest of World) documents fintech sector voluntary involvement rather than economic coercion. No source documents major commercial sector opposition or threat to industry revenue. Confidence: Medium — informal corruption economy dimension inferred from structural descriptions rather than directly quantified; absence of major commercial opposition evidenced indirectly. Source Tag: Sources 13, 14.</w:t>
      </w:r>
    </w:p>
    <w:p w14:paraId="7FEC7638" w14:textId="77777777" w:rsidR="00AE3EFC" w:rsidRPr="00AE3EFC" w:rsidRDefault="00AE3EFC" w:rsidP="00AE3EFC">
      <w:pPr>
        <w:numPr>
          <w:ilvl w:val="0"/>
          <w:numId w:val="55"/>
        </w:numPr>
        <w:rPr>
          <w:sz w:val="20"/>
          <w:szCs w:val="20"/>
        </w:rPr>
      </w:pPr>
      <w:r w:rsidRPr="00AE3EFC">
        <w:rPr>
          <w:sz w:val="20"/>
          <w:szCs w:val="20"/>
        </w:rPr>
        <w:t>Speed of change achieved Evidence: Source 7 (Al Jazeera, 11 Oct) confirms SARS disbanded 11 October, three days after street protests began on 8 October. Source 8 (Amnesty, 21 Oct) confirms military opened fire at Lekki on 20 October — nine days after disbandment — establishing formal change did not prevent continued state violence. Source 6 (Amnesty, 6 Oct) documents the prior pattern of announcements without follow-through. Confidence: High — dates and sequence directly evidenced from contemporaneous sources. Source Tag: Sources 6, 7, 8.</w:t>
      </w:r>
    </w:p>
    <w:p w14:paraId="2D802E3E" w14:textId="77777777" w:rsidR="00AE3EFC" w:rsidRPr="00AE3EFC" w:rsidRDefault="00AE3EFC" w:rsidP="00AE3EFC">
      <w:pPr>
        <w:numPr>
          <w:ilvl w:val="0"/>
          <w:numId w:val="55"/>
        </w:numPr>
        <w:rPr>
          <w:sz w:val="20"/>
          <w:szCs w:val="20"/>
        </w:rPr>
      </w:pPr>
      <w:r w:rsidRPr="00AE3EFC">
        <w:rPr>
          <w:sz w:val="20"/>
          <w:szCs w:val="20"/>
        </w:rPr>
        <w:t>Scale of change achieved Evidence: Source 7 (Al Jazeera, 11 Oct) confirms nationwide disbandment. Source 9 (Al Jazeera history) references protests in 21 states and international solidarity. Source 8 (Amnesty, 21 Oct) confirms ongoing military violence against protesters after disbandment, demonstrating formal change had not stopped abuse. Confidence: High — formal scope confirmed; absence of substantive reform confirmed by multiple in-window sources. Source Tag: Sources 7, 8, 9.</w:t>
      </w:r>
    </w:p>
    <w:p w14:paraId="297AC995" w14:textId="77777777" w:rsidR="00AE3EFC" w:rsidRPr="00AE3EFC" w:rsidRDefault="00AE3EFC" w:rsidP="00AE3EFC">
      <w:pPr>
        <w:numPr>
          <w:ilvl w:val="0"/>
          <w:numId w:val="55"/>
        </w:numPr>
        <w:rPr>
          <w:sz w:val="20"/>
          <w:szCs w:val="20"/>
        </w:rPr>
      </w:pPr>
      <w:r w:rsidRPr="00AE3EFC">
        <w:rPr>
          <w:sz w:val="20"/>
          <w:szCs w:val="20"/>
        </w:rPr>
        <w:t>Public sentiment starting point Evidence: Source 11 (Afrobarometer, survey Jan–Feb 2020) is the primary evidence: only 24% of Nigerians trust police, 61% view most/all police as corrupt — the lowest trust level among 18 African countries surveyed; 77% of those with police dealings paid bribes. Source 9 (Al Jazeera history) provides firsthand accounts across a decade establishing this sentiment predated the 2020 peak. Sources 1 and 3 establish documented abuse and public awareness predated the campaign. Confidence: Medium — Afrobarometer data is from January–February 2020, within the campaign window rather than strictly pre-campaign; pre-2017 sentiment must be inferred from abuse documentation rather than direct polling. Source Tag: Sources 1, 3, 9, 11.</w:t>
      </w:r>
    </w:p>
    <w:p w14:paraId="6694106D" w14:textId="77777777" w:rsidR="00AE3EFC" w:rsidRPr="00AE3EFC" w:rsidRDefault="00AE3EFC" w:rsidP="00AE3EFC">
      <w:pPr>
        <w:numPr>
          <w:ilvl w:val="0"/>
          <w:numId w:val="55"/>
        </w:numPr>
        <w:rPr>
          <w:sz w:val="20"/>
          <w:szCs w:val="20"/>
        </w:rPr>
      </w:pPr>
      <w:r w:rsidRPr="00AE3EFC">
        <w:rPr>
          <w:sz w:val="20"/>
          <w:szCs w:val="20"/>
        </w:rPr>
        <w:t>Legal/regulatory landscape Evidence: Source 5 (Amnesty, June 2020) states explicitly that the Anti-Torture Act was passed in 2017 and not a single police officer had been charged under it. Source 6 (Amnesty, 6 Oct) documents a judicial commission whose report was withheld from the public for nearly two years. Source 1 (UN Special Rapporteur 2007, Phase 1 exception) establishes Nigeria's international human rights treaty obligations and documents that torture was systemic despite formal prohibitions. Confidence: High — Anti-Torture Act existence and non-enforcement directly evidenced; international legal context confirmed by Phase 1 source. Phase 1 exception used: Source 1 (UN Special Rapporteur 2007) for pre-existing international legal obligations; Source 3 (Amnesty 2016) for pre-campaign regulatory landscape establishing conditions predating the Anti-Torture Act. Source Tag: Sources 1 (Phase 1 exception), 3 (Phase 1 exception), 5, 6.</w:t>
      </w:r>
    </w:p>
    <w:p w14:paraId="59470162" w14:textId="77777777" w:rsidR="00AE3EFC" w:rsidRPr="00AE3EFC" w:rsidRDefault="00AE3EFC" w:rsidP="00AE3EFC">
      <w:pPr>
        <w:numPr>
          <w:ilvl w:val="0"/>
          <w:numId w:val="55"/>
        </w:numPr>
        <w:rPr>
          <w:sz w:val="20"/>
          <w:szCs w:val="20"/>
        </w:rPr>
      </w:pPr>
      <w:r w:rsidRPr="00AE3EFC">
        <w:rPr>
          <w:sz w:val="20"/>
          <w:szCs w:val="20"/>
        </w:rPr>
        <w:t xml:space="preserve">Narrative dominance Evidence: Source 11 (Afrobarometer) shows 61% of Nigerians view most/all police as corrupt — indicating the government's "SARS as crime-fighting necessity" narrative had little popular credibility. Source 10 (Foreign Policy) describes the protest as "an unexpected shock" to the government, suggesting official narrative was caught off-guard by organised opposition. Source 8 (Amnesty, 21 Oct) documents government denial and CCTV suppression after Lekki — showing official narrative shifted to evidence suppression rather than </w:t>
      </w:r>
      <w:r w:rsidRPr="00AE3EFC">
        <w:rPr>
          <w:sz w:val="20"/>
          <w:szCs w:val="20"/>
        </w:rPr>
        <w:lastRenderedPageBreak/>
        <w:t>defending SARS. Confidence: Medium — narrative dominance assessed separately across civil and state channels rather than as a single composite; no direct measurement of narrative penetration in official or civilian media; coding reflects the divergence between high civil-sphere dominance and low state-channel dominance. Phase 1 exception used: Source 3 (Amnesty 2016) for pre-campaign framing context. Source Tag: Sources 3 (Phase 1 exception), 8, 10, 11.</w:t>
      </w:r>
    </w:p>
    <w:p w14:paraId="140CFA00" w14:textId="77777777" w:rsidR="00AE3EFC" w:rsidRPr="00AE3EFC" w:rsidRDefault="00AE3EFC" w:rsidP="00AE3EFC">
      <w:pPr>
        <w:numPr>
          <w:ilvl w:val="0"/>
          <w:numId w:val="55"/>
        </w:numPr>
        <w:rPr>
          <w:sz w:val="20"/>
          <w:szCs w:val="20"/>
        </w:rPr>
      </w:pPr>
      <w:r w:rsidRPr="00AE3EFC">
        <w:rPr>
          <w:sz w:val="20"/>
          <w:szCs w:val="20"/>
        </w:rPr>
        <w:t>Notable Tactics</w:t>
      </w:r>
      <w:r w:rsidRPr="00AE3EFC">
        <w:rPr>
          <w:sz w:val="20"/>
          <w:szCs w:val="20"/>
        </w:rPr>
        <w:br/>
        <w:t>a. Hashtag as primary coordination mechanism Evidence: Source 12 (LSE blog) analyses #EndSARS as a uniquely Nigerian twittersphere phenomenon coordinating documentation and mobilisation simultaneously. Source 10 (Foreign Policy) confirms it reached number one worldwide on Twitter. Confidence: High — directly evidenced in dedicated social media analysis and contemporaneous reporting. Source Tag: Sources 10, 12.</w:t>
      </w:r>
      <w:r w:rsidRPr="00AE3EFC">
        <w:rPr>
          <w:sz w:val="20"/>
          <w:szCs w:val="20"/>
        </w:rPr>
        <w:br/>
        <w:t>b. Viral video as campaign trigger Evidence: Source 10 (Foreign Policy) identifies the 3 October viral video of an alleged SARS killing in Delta State as the immediate trigger for street protests. Source 7 (Al Jazeera, 11 Oct) corroborates: "a video circulated last week alleging to show members of the unit shooting dead a man in the southern Delta state." Confidence: High — two independent sources confirm the trigger event. Source Tag: Sources 7, 10.</w:t>
      </w:r>
      <w:r w:rsidRPr="00AE3EFC">
        <w:rPr>
          <w:sz w:val="20"/>
          <w:szCs w:val="20"/>
        </w:rPr>
        <w:br/>
        <w:t>c. Decentralised, leaderless protest structure Evidence: Source 10 (Foreign Policy) describes "a decentralized and organic strategy" as the explicit framing of protest organisers. Source 15 (Amnesty, Feb 2021) characterises the movement as driven by citizens across 21 states without central command. Confidence: High — directly described as a deliberate strategic choice. Source Tag: Sources 10, 15.</w:t>
      </w:r>
      <w:r w:rsidRPr="00AE3EFC">
        <w:rPr>
          <w:sz w:val="20"/>
          <w:szCs w:val="20"/>
        </w:rPr>
        <w:br/>
        <w:t>d. Feminist Coalition crowdfunding and logistics infrastructure Evidence: Source 13 (Rest of World) provides detailed account of Feminist Coalition fundraising, distribution, medical and legal support, and cryptocurrency pivot. Source 10 (Foreign Policy) confirms over $380,000 raised within two weeks disbursed for bail, medical bills, food, and private security. Confidence: High — specific financial figures and operational details directly evidenced in two independent sources. Source Tag: Sources 10, 13.</w:t>
      </w:r>
      <w:r w:rsidRPr="00AE3EFC">
        <w:rPr>
          <w:sz w:val="20"/>
          <w:szCs w:val="20"/>
        </w:rPr>
        <w:br/>
        <w:t>e. Cryptocurrency pivot when financial channels were suppressed Evidence: Source 13 (Rest of World) documents the Feminist Coalition switched to Bitcoin on 15 October 2020 after "repeated restrictions on all the centralized Nigerian financial channels," with bank accounts of protest-linked individuals closed. Confidence: High — specific date, mechanism, and context directly evidenced. Note: single-source coding; no second source independently documents this event. Source Tag: Source 13.</w:t>
      </w:r>
      <w:r w:rsidRPr="00AE3EFC">
        <w:rPr>
          <w:sz w:val="20"/>
          <w:szCs w:val="20"/>
        </w:rPr>
        <w:br/>
        <w:t>f. Five-point demand agenda Evidence: Source 10 (Foreign Policy) documents the five demands and their circulation on social media. Source 7 (Al Jazeera, 11 Oct) confirms the demands followed the disbandment announcement and provided the basis for continued protest. Confidence: High — demands directly documented and confirmed as a deliberate strategic tool. Source Tag: Sources 7, 10.</w:t>
      </w:r>
      <w:r w:rsidRPr="00AE3EFC">
        <w:rPr>
          <w:sz w:val="20"/>
          <w:szCs w:val="20"/>
        </w:rPr>
        <w:br/>
        <w:t>g. Live-streaming of protest events Evidence: Source 10 (Foreign Policy) notes the Lekki massacre "was recorded live on Instagram by a female DJ." Source 8 (Amnesty, 21 Oct) references video footage as part of its evidentiary basis for confirming the killings, directly contradicting government denials. Confidence: High — live-stream footage cited as primary evidence by Amnesty's own investigation. Source Tag: Sources 8, 10.</w:t>
      </w:r>
      <w:r w:rsidRPr="00AE3EFC">
        <w:rPr>
          <w:sz w:val="20"/>
          <w:szCs w:val="20"/>
        </w:rPr>
        <w:br/>
        <w:t>h. Diaspora solidarity actions Evidence: Source 10 (Foreign Policy) documents Nigerian diaspora protests at Nigerian embassies internationally as part of the campaign's pressure strategy. Confidence: Medium — evidenced in one source; described rather than quantified. Source Tag: Source 10.</w:t>
      </w:r>
      <w:r w:rsidRPr="00AE3EFC">
        <w:rPr>
          <w:sz w:val="20"/>
          <w:szCs w:val="20"/>
        </w:rPr>
        <w:br/>
        <w:t>i. Celebrity and influencer amplification Evidence: Source 9 (Al Jazeera history) names Jack Dorsey, Kanye West, Odion Ighalo, and John Boyega as international supporters. Source 10 (Foreign Policy) documents musicians Falz and Runtown as the organisers of the first street demonstration on 8 October 2020. Confidence: High — named individuals and specific roles directly evidenced across two independent sources. Source Tag: Sources 9, 10.</w:t>
      </w:r>
    </w:p>
    <w:p w14:paraId="50DF8CF8" w14:textId="77777777" w:rsidR="00AE3EFC" w:rsidRPr="00AE3EFC" w:rsidRDefault="00AE3EFC" w:rsidP="00AE3EFC">
      <w:pPr>
        <w:rPr>
          <w:sz w:val="20"/>
          <w:szCs w:val="20"/>
        </w:rPr>
      </w:pPr>
      <w:r w:rsidRPr="00AE3EFC">
        <w:rPr>
          <w:b/>
          <w:bCs/>
          <w:sz w:val="20"/>
          <w:szCs w:val="20"/>
        </w:rPr>
        <w:t>SOURCE-TO-VARIABLE MAPPING</w:t>
      </w:r>
    </w:p>
    <w:p w14:paraId="2B2FDE10" w14:textId="77777777" w:rsidR="00AE3EFC" w:rsidRPr="00AE3EFC" w:rsidRDefault="00AE3EFC" w:rsidP="00AE3EFC">
      <w:pPr>
        <w:rPr>
          <w:sz w:val="20"/>
          <w:szCs w:val="20"/>
        </w:rPr>
      </w:pPr>
      <w:r w:rsidRPr="00AE3EFC">
        <w:rPr>
          <w:sz w:val="20"/>
          <w:szCs w:val="20"/>
        </w:rPr>
        <w:t xml:space="preserve">Source 1 (UN Special Rapporteur, 2007) — 12, 13 (Phase 1 exception) Source 3 (Amnesty "You have signed your death warrant," 2016) — 13, 14 (Phase 1 exception) Source 4 (Amnesty "Time to end impunity," June 2020) — 1, 5, 6 Source 5 (Amnesty "Horrific reign of impunity," June 2020) — 6, 13 Source 6 (Amnesty "Authorities repeatedly failing," 6 Oct 2020) — 2, 3, 4, 10 Source 7 (Al Jazeera "SARS dissolved," 11 Oct 2020) — 1, 2, 4, 6, 10, 11, 15b, 15f Source 8 (Amnesty "Killing of protesters," 21 Oct 2020) — 3, 4, 10, 11, 15g Source 9 (Al Jazeera "Brief history of SARS," 22 Oct 2020) — 5, 8, 11, 12, 15i Source 10 (Foreign Policy "Next-Generation Protest Movement," 28 Oct 2020) — 5, 6, 7, 8, 11, 15a, 15b, 15c, 15d, 15f, 15g, 15h, 15i Source 11 (Afrobarometer, 6 Nov 2020) — 5, 12, 14 Source 12 (LSE Media Blog, 11 Nov 2020) — 7, 15a Source 13 </w:t>
      </w:r>
      <w:r w:rsidRPr="00AE3EFC">
        <w:rPr>
          <w:sz w:val="20"/>
          <w:szCs w:val="20"/>
        </w:rPr>
        <w:lastRenderedPageBreak/>
        <w:t>(Rest of World, 12 Nov 2020) — 3, 4, 8, 9, 15d, 15e Source 14 (Time magazine) — 3, 4, 9 Source 15 (Amnesty "#EndSARS movement," Feb 2021) — 15c Source 16 (HRW "A Year On," Oct 2021) — Hindsight Notes only</w:t>
      </w:r>
    </w:p>
    <w:p w14:paraId="6666C8BA" w14:textId="77777777" w:rsidR="00AE3EFC" w:rsidRPr="00AE3EFC" w:rsidRDefault="00AE3EFC" w:rsidP="00AE3EFC">
      <w:pPr>
        <w:rPr>
          <w:sz w:val="20"/>
          <w:szCs w:val="20"/>
        </w:rPr>
      </w:pPr>
      <w:r w:rsidRPr="00AE3EFC">
        <w:rPr>
          <w:b/>
          <w:bCs/>
          <w:sz w:val="20"/>
          <w:szCs w:val="20"/>
        </w:rPr>
        <w:t>OBSERVATION</w:t>
      </w:r>
    </w:p>
    <w:p w14:paraId="102F7B43" w14:textId="77777777" w:rsidR="00AE3EFC" w:rsidRPr="00AE3EFC" w:rsidRDefault="00AE3EFC" w:rsidP="00AE3EFC">
      <w:pPr>
        <w:rPr>
          <w:sz w:val="20"/>
          <w:szCs w:val="20"/>
        </w:rPr>
      </w:pPr>
      <w:r w:rsidRPr="00AE3EFC">
        <w:rPr>
          <w:sz w:val="20"/>
          <w:szCs w:val="20"/>
        </w:rPr>
        <w:t>Evidence is concentrated in Amnesty International sources (1, 4, 5, 6, 8, 15 — six of sixteen) and Al Jazeera (7, 9 — two sources), reflecting sustained systematic documentation from these organisations. Source 11 (Afrobarometer) is the sole quantitative public opinion source and carries significant weight for Variable 12. Source 10 (Foreign Policy, 28 Oct 2020) carries a disproportionate load for campaign tactics, appearing as a source in eight of nine Notable Tactics (15a through 15i, excluding only 15e); this structural dependency should be noted when weighting the tactics evidence in comparative analysis. Source 13 (Rest of World) and Source 10 together anchor the tactics evidence. Sources 1 and 3 (Phase 1 exceptions) are used narrowly for Variables 12–14 only. Source 2 (WISPI 2016) was removed from this mapping as it was not cited in any List B evidence entry.</w:t>
      </w:r>
    </w:p>
    <w:p w14:paraId="08987E34" w14:textId="77777777" w:rsidR="00AE3EFC" w:rsidRPr="00AE3EFC" w:rsidRDefault="00AE3EFC" w:rsidP="00AE3EFC">
      <w:pPr>
        <w:rPr>
          <w:sz w:val="20"/>
          <w:szCs w:val="20"/>
        </w:rPr>
      </w:pPr>
      <w:r w:rsidRPr="00AE3EFC">
        <w:rPr>
          <w:b/>
          <w:bCs/>
          <w:sz w:val="20"/>
          <w:szCs w:val="20"/>
        </w:rPr>
        <w:t>CASE-LEVEL SUMMARY</w:t>
      </w:r>
    </w:p>
    <w:p w14:paraId="5D2E4198" w14:textId="77777777" w:rsidR="00AE3EFC" w:rsidRPr="00AE3EFC" w:rsidRDefault="00AE3EFC" w:rsidP="00AE3EFC">
      <w:pPr>
        <w:rPr>
          <w:sz w:val="20"/>
          <w:szCs w:val="20"/>
        </w:rPr>
      </w:pPr>
      <w:r w:rsidRPr="00AE3EFC">
        <w:rPr>
          <w:sz w:val="20"/>
          <w:szCs w:val="20"/>
        </w:rPr>
        <w:t>Variables coded at Insufficient: None. Variables coded at Medium confidence: Variable 9 (Economic disruption required) — informal corruption economy dimension inferred from structural descriptions of police underfunding rather than directly quantified. Variable 12 (Public sentiment starting point) — Afrobarometer data is from January–February 2020, within the campaign window rather than strictly pre-campaign; pre-2017 sentiment inferred from abuse documentation rather than direct polling. Variable 14 (Narrative dominance) — assessed separately across civil and state channels; no direct measurement of narrative penetration in either; the divergence between high civil-sphere dominance and low state-channel dominance makes a single composite rating inherently imprecise. Variable 15h (Diaspora solidarity actions) — evidenced in one source only; described rather than quantified. Phase 1/4 exception used: Variable 13 — Source 1 (UN Special Rapporteur 2007) for pre-existing international legal obligations; Source 3 (Amnesty 2016) for pre-campaign regulatory landscape. Variable 14 — Source 3 (Amnesty 2016) for pre-campaign framing context.</w:t>
      </w:r>
    </w:p>
    <w:p w14:paraId="5297409B" w14:textId="77777777" w:rsidR="00AE3EFC" w:rsidRPr="00AE3EFC" w:rsidRDefault="00AE3EFC" w:rsidP="00AE3EFC">
      <w:pPr>
        <w:rPr>
          <w:sz w:val="20"/>
          <w:szCs w:val="20"/>
        </w:rPr>
      </w:pPr>
      <w:r w:rsidRPr="00AE3EFC">
        <w:rPr>
          <w:b/>
          <w:bCs/>
          <w:sz w:val="20"/>
          <w:szCs w:val="20"/>
        </w:rPr>
        <w:t>OVERALL CASE CONFIDENCE/QUALITY FLAG</w:t>
      </w:r>
    </w:p>
    <w:p w14:paraId="0F9652BA" w14:textId="77777777" w:rsidR="00AE3EFC" w:rsidRPr="00AE3EFC" w:rsidRDefault="00AE3EFC" w:rsidP="00AE3EFC">
      <w:pPr>
        <w:rPr>
          <w:sz w:val="20"/>
          <w:szCs w:val="20"/>
        </w:rPr>
      </w:pPr>
      <w:r w:rsidRPr="00AE3EFC">
        <w:rPr>
          <w:sz w:val="20"/>
          <w:szCs w:val="20"/>
        </w:rPr>
        <w:t>High. The majority of variables are coded at High confidence from multiple verified primary sources including three contemporaneous Amnesty International reports, two Al Jazeera pieces, an Afrobarometer survey drawing on January–February 2020 fieldwork, and dedicated social media analysis from LSE. Phase 1 exceptions are used narrowly for two variables only. The four Medium confidence codings reflect genuine evidentiary gaps rather than source weakness. The case is unusually well-evidenced at the tactic level (Variable 15) given extensive contemporaneous reporting on the Feminist Coalition, cryptocurrency fundraising, and social media coordination. No variables are marked Insufficient evidence.</w:t>
      </w:r>
    </w:p>
    <w:p w14:paraId="14F069F0" w14:textId="77777777" w:rsidR="00AE3EFC" w:rsidRPr="00AE3EFC" w:rsidRDefault="00AE3EFC" w:rsidP="00AE3EFC">
      <w:pPr>
        <w:rPr>
          <w:sz w:val="20"/>
          <w:szCs w:val="20"/>
        </w:rPr>
      </w:pPr>
      <w:r w:rsidRPr="00AE3EFC">
        <w:rPr>
          <w:b/>
          <w:bCs/>
          <w:sz w:val="20"/>
          <w:szCs w:val="20"/>
        </w:rPr>
        <w:t>HINDSIGHT NOTES</w:t>
      </w:r>
    </w:p>
    <w:p w14:paraId="661CD0C9" w14:textId="77777777" w:rsidR="00AE3EFC" w:rsidRPr="00AE3EFC" w:rsidRDefault="00AE3EFC" w:rsidP="00AE3EFC">
      <w:pPr>
        <w:rPr>
          <w:sz w:val="20"/>
          <w:szCs w:val="20"/>
        </w:rPr>
      </w:pPr>
      <w:r w:rsidRPr="00AE3EFC">
        <w:rPr>
          <w:sz w:val="20"/>
          <w:szCs w:val="20"/>
        </w:rPr>
        <w:t>Variable 10 (Speed of change achieved) — HRW (source 16, October 2021) and Amnesty (source 15, February 2021) confirm that one year after the window closed no prosecutions had occurred, no oversight body was operational, and SWAT was operating much as SARS had. This confirms the "Unresolved (substantive)" coding but does not change it. Variable 11 (Scale of change achieved) — Source 16 (HRW, October 2021) confirms the substantive "Limited" coding: no officers prosecuted, no structural reform implemented, judicial panels established but findings largely ignored. Not used in coding above. Variable 14 (Narrative dominance) — the Nigerian government's denial of the Lekki massacre and its attempt to suppress CCTV and live-stream evidence (source 8) suggests the government had already abandoned defending SARS and pivoted to evidence suppression, indicating the original SARS-as-necessity framing had collapsed even within official circles by window's close. Not used in coding above.</w:t>
      </w:r>
    </w:p>
    <w:p w14:paraId="5970434A" w14:textId="77777777" w:rsidR="003C0E0B" w:rsidRPr="00AE3EFC" w:rsidRDefault="003C0E0B" w:rsidP="003C0E0B">
      <w:pPr>
        <w:rPr>
          <w:sz w:val="20"/>
          <w:szCs w:val="20"/>
        </w:rPr>
      </w:pPr>
    </w:p>
    <w:p w14:paraId="19F94028" w14:textId="2560E62C" w:rsidR="003C0E0B" w:rsidRDefault="003C0E0B" w:rsidP="003C0E0B">
      <w:pPr>
        <w:pStyle w:val="Heading1"/>
      </w:pPr>
      <w:r>
        <w:t>CASE 19: Brazil MST narrative reframe around organic foods</w:t>
      </w:r>
    </w:p>
    <w:p w14:paraId="309E09CC" w14:textId="77777777" w:rsidR="009B1C92" w:rsidRPr="009B1C92" w:rsidRDefault="009B1C92" w:rsidP="009B1C92">
      <w:pPr>
        <w:rPr>
          <w:sz w:val="20"/>
          <w:szCs w:val="20"/>
        </w:rPr>
      </w:pPr>
      <w:r w:rsidRPr="009B1C92">
        <w:rPr>
          <w:b/>
          <w:bCs/>
          <w:sz w:val="20"/>
          <w:szCs w:val="20"/>
        </w:rPr>
        <w:t>LIST B — EVIDENCE / CONFIDENCE / SOURCE TAG</w:t>
      </w:r>
    </w:p>
    <w:p w14:paraId="39EA98F9" w14:textId="77777777" w:rsidR="009B1C92" w:rsidRPr="009B1C92" w:rsidRDefault="009B1C92" w:rsidP="009B1C92">
      <w:pPr>
        <w:numPr>
          <w:ilvl w:val="0"/>
          <w:numId w:val="53"/>
        </w:numPr>
        <w:rPr>
          <w:sz w:val="20"/>
          <w:szCs w:val="20"/>
        </w:rPr>
      </w:pPr>
      <w:r w:rsidRPr="009B1C92">
        <w:rPr>
          <w:sz w:val="20"/>
          <w:szCs w:val="20"/>
        </w:rPr>
        <w:t>Target type</w:t>
      </w:r>
      <w:r w:rsidRPr="009B1C92">
        <w:rPr>
          <w:sz w:val="20"/>
          <w:szCs w:val="20"/>
        </w:rPr>
        <w:br/>
        <w:t xml:space="preserve">Evidence: Source 1 (Friends of MST, 6th Congress) documents the February 2014 People's Agrarian Reform adoption, identifying government as legislative target from the window's opening. Source 9 (The Nation/Bevins) </w:t>
      </w:r>
      <w:r w:rsidRPr="009B1C92">
        <w:rPr>
          <w:sz w:val="20"/>
          <w:szCs w:val="20"/>
        </w:rPr>
        <w:lastRenderedPageBreak/>
        <w:t>explicitly states the MST "made a tactical alliance with progressive elements of the urban bourgeoisie" and used food production to build urban support — directly identifying urban consumers as a simultaneous target. Source 6 (Friends of MST, organic rice) documents Minister Paulo Teixeira's presence at the harvest festival, confirming government relations as a parallel ongoing target.</w:t>
      </w:r>
      <w:r w:rsidRPr="009B1C92">
        <w:rPr>
          <w:sz w:val="20"/>
          <w:szCs w:val="20"/>
        </w:rPr>
        <w:br/>
        <w:t>Confidence: High — multiple sources directly document the multi-target structure with specific named targets and confirmed strategic intent.</w:t>
      </w:r>
      <w:r w:rsidRPr="009B1C92">
        <w:rPr>
          <w:sz w:val="20"/>
          <w:szCs w:val="20"/>
        </w:rPr>
        <w:br/>
        <w:t>Source Tag: Sources 1, 6, 9.</w:t>
      </w:r>
    </w:p>
    <w:p w14:paraId="77FB5555" w14:textId="77777777" w:rsidR="009B1C92" w:rsidRPr="009B1C92" w:rsidRDefault="009B1C92" w:rsidP="009B1C92">
      <w:pPr>
        <w:numPr>
          <w:ilvl w:val="0"/>
          <w:numId w:val="53"/>
        </w:numPr>
        <w:rPr>
          <w:sz w:val="20"/>
          <w:szCs w:val="20"/>
        </w:rPr>
      </w:pPr>
      <w:r w:rsidRPr="009B1C92">
        <w:rPr>
          <w:sz w:val="20"/>
          <w:szCs w:val="20"/>
        </w:rPr>
        <w:t>Concentration of decision-making power</w:t>
      </w:r>
      <w:r w:rsidRPr="009B1C92">
        <w:rPr>
          <w:sz w:val="20"/>
          <w:szCs w:val="20"/>
        </w:rPr>
        <w:br/>
        <w:t>Evidence: Source 9 (The Nation/Bevins) explicitly contrasts the mass urban cultural shift (requiring millions of consumers) with concentrated government targets (land reform minister, PAA budget, land reform authorities). Source 5 (IRGAC) documents the bancada ruralista as a concentrated legislative veto point. Source 11 (Jacobin) notes Lula's limited room to manoeuvre in Congress, confirming concentrated but constrained executive decision-making.</w:t>
      </w:r>
      <w:r w:rsidRPr="009B1C92">
        <w:rPr>
          <w:sz w:val="20"/>
          <w:szCs w:val="20"/>
        </w:rPr>
        <w:br/>
        <w:t>Confidence: High — the duality of diffuse consumer targets and concentrated government/legislative targets is directly evidenced across multiple sources.</w:t>
      </w:r>
      <w:r w:rsidRPr="009B1C92">
        <w:rPr>
          <w:sz w:val="20"/>
          <w:szCs w:val="20"/>
        </w:rPr>
        <w:br/>
        <w:t>Source Tag: Sources 5, 9, 11.</w:t>
      </w:r>
    </w:p>
    <w:p w14:paraId="000585A9" w14:textId="77777777" w:rsidR="009B1C92" w:rsidRPr="009B1C92" w:rsidRDefault="009B1C92" w:rsidP="009B1C92">
      <w:pPr>
        <w:numPr>
          <w:ilvl w:val="0"/>
          <w:numId w:val="53"/>
        </w:numPr>
        <w:rPr>
          <w:sz w:val="20"/>
          <w:szCs w:val="20"/>
        </w:rPr>
      </w:pPr>
      <w:r w:rsidRPr="009B1C92">
        <w:rPr>
          <w:sz w:val="20"/>
          <w:szCs w:val="20"/>
        </w:rPr>
        <w:t>Strength of opposition</w:t>
      </w:r>
      <w:r w:rsidRPr="009B1C92">
        <w:rPr>
          <w:sz w:val="20"/>
          <w:szCs w:val="20"/>
        </w:rPr>
        <w:br/>
        <w:t>Evidence: Source 5 (IRGAC) explicitly documents the bancada ruralista: "The group of ruralist deputies at the base of the Brazilian government—the bancada ruralista—opposes most decisions on land reform issues." Source 9 (The Nation/Bevins) quotes Bolsonaro's environmental minister who "published a pamphlet suggesting that a pack of bullets was the solution to both wild boars and the Landless Workers' Movement." Source 7 (Brasil de Fato) documents the PAA budget collapse from R$1.3bn to R$135mn as direct evidence of the opposition's capacity to dismantle supporting policy.</w:t>
      </w:r>
      <w:r w:rsidRPr="009B1C92">
        <w:rPr>
          <w:sz w:val="20"/>
          <w:szCs w:val="20"/>
        </w:rPr>
        <w:br/>
        <w:t>Confidence: High — multiple independent sources directly document institutional power, financial backing, and governmental access of the opposition.</w:t>
      </w:r>
      <w:r w:rsidRPr="009B1C92">
        <w:rPr>
          <w:sz w:val="20"/>
          <w:szCs w:val="20"/>
        </w:rPr>
        <w:br/>
        <w:t>Source Tag: Sources 5, 7, 9.</w:t>
      </w:r>
    </w:p>
    <w:p w14:paraId="6EE54789" w14:textId="77777777" w:rsidR="009B1C92" w:rsidRPr="009B1C92" w:rsidRDefault="009B1C92" w:rsidP="009B1C92">
      <w:pPr>
        <w:numPr>
          <w:ilvl w:val="0"/>
          <w:numId w:val="53"/>
        </w:numPr>
        <w:rPr>
          <w:sz w:val="20"/>
          <w:szCs w:val="20"/>
        </w:rPr>
      </w:pPr>
      <w:r w:rsidRPr="009B1C92">
        <w:rPr>
          <w:sz w:val="20"/>
          <w:szCs w:val="20"/>
        </w:rPr>
        <w:t>Type of opposition</w:t>
      </w:r>
      <w:r w:rsidRPr="009B1C92">
        <w:rPr>
          <w:sz w:val="20"/>
          <w:szCs w:val="20"/>
        </w:rPr>
        <w:br/>
        <w:t>Evidence: Source 8 (YES! Magazine) directly names "land thieves" and "lazy" as opposition stereotypes. Source 10 (Inequality.org) names "invasions" and "criminals" as dominant opposition framing. Source 9 (The Nation/Bevins) documents the parliamentary inquiry launched by Bolsonaristas post-2022, military police encampment evictions, and the January 2025 Olga Benário shooting (two killed, four wounded). Source 7 (Brasil de Fato) documents PAA budget cuts as deliberate policy reversal. Source 2 (Meek et al.) documents Temer/Bolsonaro-era criminalization including the August 2020 military police demolition of the Quilombo Campo Grande school.</w:t>
      </w:r>
      <w:r w:rsidRPr="009B1C92">
        <w:rPr>
          <w:sz w:val="20"/>
          <w:szCs w:val="20"/>
        </w:rPr>
        <w:br/>
        <w:t>Confidence: High — every opposition type coded is directly cited in at least one locked source with specific documented examples.</w:t>
      </w:r>
      <w:r w:rsidRPr="009B1C92">
        <w:rPr>
          <w:sz w:val="20"/>
          <w:szCs w:val="20"/>
        </w:rPr>
        <w:br/>
        <w:t>Source Tag: Sources 2, 7, 8, 9, 10.</w:t>
      </w:r>
    </w:p>
    <w:p w14:paraId="6CF633E0" w14:textId="77777777" w:rsidR="009B1C92" w:rsidRPr="009B1C92" w:rsidRDefault="009B1C92" w:rsidP="009B1C92">
      <w:pPr>
        <w:numPr>
          <w:ilvl w:val="0"/>
          <w:numId w:val="53"/>
        </w:numPr>
        <w:rPr>
          <w:sz w:val="20"/>
          <w:szCs w:val="20"/>
        </w:rPr>
      </w:pPr>
      <w:r w:rsidRPr="009B1C92">
        <w:rPr>
          <w:sz w:val="20"/>
          <w:szCs w:val="20"/>
        </w:rPr>
        <w:t>Visibility of harm to the public</w:t>
      </w:r>
      <w:r w:rsidRPr="009B1C92">
        <w:rPr>
          <w:sz w:val="20"/>
          <w:szCs w:val="20"/>
        </w:rPr>
        <w:br/>
        <w:t>Evidence: Source 9 (The Nation/Bevins) explicitly frames the organic food pivot as designed to bridge the gap between rural MST realities and urban consumers who were otherwise disconnected. Source 11 (Jacobin) directly states that "land occupations don't resonate in cities" as the rationale for the food narrative — directly evidencing low urban visibility of the underlying harm. Source 8 (YES! Magazine) documents the reframe as designed to counter stereotypes that dominated urban public perception.</w:t>
      </w:r>
      <w:r w:rsidRPr="009B1C92">
        <w:rPr>
          <w:sz w:val="20"/>
          <w:szCs w:val="20"/>
        </w:rPr>
        <w:br/>
        <w:t>Confidence: High — low visibility of the underlying harm and the deliberate strategy to address this gap are both directly and explicitly documented.</w:t>
      </w:r>
      <w:r w:rsidRPr="009B1C92">
        <w:rPr>
          <w:sz w:val="20"/>
          <w:szCs w:val="20"/>
        </w:rPr>
        <w:br/>
        <w:t>Source Tag: Sources 8, 9, 11.</w:t>
      </w:r>
    </w:p>
    <w:p w14:paraId="3C310FBD" w14:textId="77777777" w:rsidR="009B1C92" w:rsidRPr="009B1C92" w:rsidRDefault="009B1C92" w:rsidP="009B1C92">
      <w:pPr>
        <w:numPr>
          <w:ilvl w:val="0"/>
          <w:numId w:val="53"/>
        </w:numPr>
        <w:rPr>
          <w:sz w:val="20"/>
          <w:szCs w:val="20"/>
        </w:rPr>
      </w:pPr>
      <w:r w:rsidRPr="009B1C92">
        <w:rPr>
          <w:sz w:val="20"/>
          <w:szCs w:val="20"/>
        </w:rPr>
        <w:t>Degree of behaviour change required</w:t>
      </w:r>
      <w:r w:rsidRPr="009B1C92">
        <w:rPr>
          <w:sz w:val="20"/>
          <w:szCs w:val="20"/>
        </w:rPr>
        <w:br/>
        <w:t>Evidence: Source 9 (The Nation/Bevins) documents the urban consumer ask as purchasing MST products and adopting a new perception — a bounded behaviour change. Source 3 (Tanaka et al.) confirms stores in 12 states, indicating consumer behaviour change was pursued at scale through a standard retail mechanism. The government dimension (PAA restoration, land reform recognition) requires policy decisions from officials rather than mass-population behaviour change.</w:t>
      </w:r>
      <w:r w:rsidRPr="009B1C92">
        <w:rPr>
          <w:sz w:val="20"/>
          <w:szCs w:val="20"/>
        </w:rPr>
        <w:br/>
      </w:r>
      <w:r w:rsidRPr="009B1C92">
        <w:rPr>
          <w:sz w:val="20"/>
          <w:szCs w:val="20"/>
        </w:rPr>
        <w:lastRenderedPageBreak/>
        <w:t>Confidence: Medium — directly evidenced for the consumer/cultural dimension; characterising the government/policy dimension as moderate requires reasonable inference not explicitly stated in the sources.</w:t>
      </w:r>
      <w:r w:rsidRPr="009B1C92">
        <w:rPr>
          <w:sz w:val="20"/>
          <w:szCs w:val="20"/>
        </w:rPr>
        <w:br/>
        <w:t>Source Tag: Sources 3, 9.</w:t>
      </w:r>
    </w:p>
    <w:p w14:paraId="413586C6" w14:textId="77777777" w:rsidR="009B1C92" w:rsidRPr="009B1C92" w:rsidRDefault="009B1C92" w:rsidP="009B1C92">
      <w:pPr>
        <w:numPr>
          <w:ilvl w:val="0"/>
          <w:numId w:val="53"/>
        </w:numPr>
        <w:rPr>
          <w:sz w:val="20"/>
          <w:szCs w:val="20"/>
        </w:rPr>
      </w:pPr>
      <w:r w:rsidRPr="009B1C92">
        <w:rPr>
          <w:sz w:val="20"/>
          <w:szCs w:val="20"/>
        </w:rPr>
        <w:t>Role of policy vs market pressure vs cultural shift</w:t>
      </w:r>
      <w:r w:rsidRPr="009B1C92">
        <w:rPr>
          <w:sz w:val="20"/>
          <w:szCs w:val="20"/>
        </w:rPr>
        <w:br/>
        <w:t>Evidence: Source 11 (Jacobin) explicitly describes the food pivot as deliberate narrative and market strategy: "flying the unlikely banner of organic food" and states MST "put a new issue on the political agenda. That issue was food." Source 9 (The Nation/Bevins) frames the hat trend and food strategy as a "tactical alliance with progressive elements of the urban bourgeoisie" — a cultural mechanism. Source 3 (Tanaka et al.) documents the Armazém store network as market infrastructure. Source 7 (Brasil de Fato) documents PAA policy advocacy running in parallel.</w:t>
      </w:r>
      <w:r w:rsidRPr="009B1C92">
        <w:rPr>
          <w:sz w:val="20"/>
          <w:szCs w:val="20"/>
        </w:rPr>
        <w:br/>
        <w:t>Confidence: High — all three mechanisms are directly documented, with the cultural mechanism explicitly described as primary in the two most direct strategic accounts.</w:t>
      </w:r>
      <w:r w:rsidRPr="009B1C92">
        <w:rPr>
          <w:sz w:val="20"/>
          <w:szCs w:val="20"/>
        </w:rPr>
        <w:br/>
        <w:t>Source Tag: Sources 3, 7, 9, 11.</w:t>
      </w:r>
    </w:p>
    <w:p w14:paraId="3D802DDA" w14:textId="77777777" w:rsidR="009B1C92" w:rsidRPr="009B1C92" w:rsidRDefault="009B1C92" w:rsidP="009B1C92">
      <w:pPr>
        <w:numPr>
          <w:ilvl w:val="0"/>
          <w:numId w:val="53"/>
        </w:numPr>
        <w:rPr>
          <w:sz w:val="20"/>
          <w:szCs w:val="20"/>
        </w:rPr>
      </w:pPr>
      <w:r w:rsidRPr="009B1C92">
        <w:rPr>
          <w:sz w:val="20"/>
          <w:szCs w:val="20"/>
        </w:rPr>
        <w:t>Coalition size, type, and presence of non-obvious allies</w:t>
      </w:r>
      <w:r w:rsidRPr="009B1C92">
        <w:rPr>
          <w:sz w:val="20"/>
          <w:szCs w:val="20"/>
        </w:rPr>
        <w:br/>
        <w:t>Evidence: Source 4 (Civil Eats) confirms MST as one of the founding organisations of La Via Campesina in 1993. Source 2 (Meek et al.) documents PASSOMG as a 50+ organisation coalition in Minas Gerais. Source 9 (The Nation/Bevins) explicitly documents the progressive urban cultural elite as a deliberately cultivated non-obvious ally — described as "the result of a carefully laid plan." Source 10 (Inequality.org) names Pope Francis as an ally. Sources 2, 3, and 7 collectively document university research partnerships (UFRGS and others) as a non-movement academic ally category.</w:t>
      </w:r>
      <w:r w:rsidRPr="009B1C92">
        <w:rPr>
          <w:sz w:val="20"/>
          <w:szCs w:val="20"/>
        </w:rPr>
        <w:br/>
        <w:t>Confidence: High — coalition composition across multiple tiers is directly documented across multiple independent sources with specific named organisations and individuals.</w:t>
      </w:r>
      <w:r w:rsidRPr="009B1C92">
        <w:rPr>
          <w:sz w:val="20"/>
          <w:szCs w:val="20"/>
        </w:rPr>
        <w:br/>
        <w:t>Source Tag: Sources 2, 3, 4, 7, 9, 10.</w:t>
      </w:r>
    </w:p>
    <w:p w14:paraId="796BC874" w14:textId="77777777" w:rsidR="009B1C92" w:rsidRPr="009B1C92" w:rsidRDefault="009B1C92" w:rsidP="009B1C92">
      <w:pPr>
        <w:numPr>
          <w:ilvl w:val="0"/>
          <w:numId w:val="53"/>
        </w:numPr>
        <w:rPr>
          <w:sz w:val="20"/>
          <w:szCs w:val="20"/>
        </w:rPr>
      </w:pPr>
      <w:r w:rsidRPr="009B1C92">
        <w:rPr>
          <w:sz w:val="20"/>
          <w:szCs w:val="20"/>
        </w:rPr>
        <w:t>Economic disruption required</w:t>
      </w:r>
      <w:r w:rsidRPr="009B1C92">
        <w:rPr>
          <w:sz w:val="20"/>
          <w:szCs w:val="20"/>
        </w:rPr>
        <w:br/>
        <w:t>Evidence: Source 3 (Tanaka et al.) documents the Armazém store network as capital investment in a parallel food economy — meaningful but bounded relative to agribusiness revenues. Source 11 (Jacobin) notes organic rice at 42,000 tonnes total/16,000 tonnes organic — positioning MST within existing food supply chains rather than displacing them. Source 5 (IRGAC) confirms MST as the largest organic rice producer in Latin America. The land reform goal is documented as directly threatening existing landholdings in Sources 9 and 10 — indicating high disruption for that dimension.</w:t>
      </w:r>
      <w:r w:rsidRPr="009B1C92">
        <w:rPr>
          <w:sz w:val="20"/>
          <w:szCs w:val="20"/>
        </w:rPr>
        <w:br/>
        <w:t>Confidence: Medium — the dual characterisation (moderate for the retail/narrative campaign, high for the land reform goal) is well-supported but requires synthesis; no single source characterises the economic disruption level explicitly in these terms.</w:t>
      </w:r>
      <w:r w:rsidRPr="009B1C92">
        <w:rPr>
          <w:sz w:val="20"/>
          <w:szCs w:val="20"/>
        </w:rPr>
        <w:br/>
        <w:t>Source Tag: Sources 3, 5, 9, 11.</w:t>
      </w:r>
    </w:p>
    <w:p w14:paraId="36F5F630" w14:textId="77777777" w:rsidR="009B1C92" w:rsidRPr="009B1C92" w:rsidRDefault="009B1C92" w:rsidP="009B1C92">
      <w:pPr>
        <w:numPr>
          <w:ilvl w:val="0"/>
          <w:numId w:val="53"/>
        </w:numPr>
        <w:rPr>
          <w:sz w:val="20"/>
          <w:szCs w:val="20"/>
        </w:rPr>
      </w:pPr>
      <w:r w:rsidRPr="009B1C92">
        <w:rPr>
          <w:sz w:val="20"/>
          <w:szCs w:val="20"/>
        </w:rPr>
        <w:t>Speed of change achieved — Mixed/Unresolved</w:t>
      </w:r>
      <w:r w:rsidRPr="009B1C92">
        <w:rPr>
          <w:sz w:val="20"/>
          <w:szCs w:val="20"/>
        </w:rPr>
        <w:br/>
        <w:t>Evidence: Source 3 (Tanaka et al.) documents first Armazém store July 2016, with 27 stores by the study period — incremental growth over approximately a decade, not a rapid cascade. Source 9 (The Nation/Bevins) documents the MST's return to "more offensive posture" post-2022, indicating the campaign dynamic is still evolving with no resolution point reached. Open/ongoing campaign per the locked rule.</w:t>
      </w:r>
      <w:r w:rsidRPr="009B1C92">
        <w:rPr>
          <w:sz w:val="20"/>
          <w:szCs w:val="20"/>
        </w:rPr>
        <w:br/>
        <w:t>Confidence: Mixed/Unresolved — cannot code a definitive speed without the window closing.</w:t>
      </w:r>
      <w:r w:rsidRPr="009B1C92">
        <w:rPr>
          <w:sz w:val="20"/>
          <w:szCs w:val="20"/>
        </w:rPr>
        <w:br/>
        <w:t>Source Tag: Sources 3, 9.</w:t>
      </w:r>
    </w:p>
    <w:p w14:paraId="14F26695" w14:textId="77777777" w:rsidR="009B1C92" w:rsidRPr="009B1C92" w:rsidRDefault="009B1C92" w:rsidP="009B1C92">
      <w:pPr>
        <w:numPr>
          <w:ilvl w:val="0"/>
          <w:numId w:val="53"/>
        </w:numPr>
        <w:rPr>
          <w:sz w:val="20"/>
          <w:szCs w:val="20"/>
        </w:rPr>
      </w:pPr>
      <w:r w:rsidRPr="009B1C92">
        <w:rPr>
          <w:sz w:val="20"/>
          <w:szCs w:val="20"/>
        </w:rPr>
        <w:t>Scale of change achieved — Mixed/Unresolved</w:t>
      </w:r>
      <w:r w:rsidRPr="009B1C92">
        <w:rPr>
          <w:sz w:val="20"/>
          <w:szCs w:val="20"/>
        </w:rPr>
        <w:br/>
        <w:t>Evidence: Source 3 (Tanaka et al.) documents 27 stores across 12 states. Source 6 (Friends of MST, rice) documents 16,000+ tonnes organic rice from 352 families and 7 cooperatives in Rio Grande do Sul alone. Source 5 (IRGAC) confirms MST as the largest organic rice producer in Latin America. Source 2 (Meek et al.) documents MST active in 23 of 27 states. However, land redistribution goals remain largely unresolved per Sources 9 and 11, and PAA has not been fully restored.</w:t>
      </w:r>
      <w:r w:rsidRPr="009B1C92">
        <w:rPr>
          <w:sz w:val="20"/>
          <w:szCs w:val="20"/>
        </w:rPr>
        <w:br/>
        <w:t>Confidence: Mixed/Unresolved — organic production and cultural dimensions show documented scale gains; land reform dimension remains unresolved.</w:t>
      </w:r>
      <w:r w:rsidRPr="009B1C92">
        <w:rPr>
          <w:sz w:val="20"/>
          <w:szCs w:val="20"/>
        </w:rPr>
        <w:br/>
        <w:t>Source Tag: Sources 2, 3, 5, 6, 9, 11.</w:t>
      </w:r>
    </w:p>
    <w:p w14:paraId="32561F1F" w14:textId="77777777" w:rsidR="009B1C92" w:rsidRPr="009B1C92" w:rsidRDefault="009B1C92" w:rsidP="009B1C92">
      <w:pPr>
        <w:numPr>
          <w:ilvl w:val="0"/>
          <w:numId w:val="53"/>
        </w:numPr>
        <w:rPr>
          <w:sz w:val="20"/>
          <w:szCs w:val="20"/>
        </w:rPr>
      </w:pPr>
      <w:r w:rsidRPr="009B1C92">
        <w:rPr>
          <w:sz w:val="20"/>
          <w:szCs w:val="20"/>
        </w:rPr>
        <w:lastRenderedPageBreak/>
        <w:t>Public sentiment starting point</w:t>
      </w:r>
      <w:r w:rsidRPr="009B1C92">
        <w:rPr>
          <w:sz w:val="20"/>
          <w:szCs w:val="20"/>
        </w:rPr>
        <w:br/>
        <w:t>Evidence: Source 8 (YES! Magazine) explicitly documents the dominant pre-reframe framing: MST members portrayed as "land thieves" and stereotyped as "lazy." Source 10 (Inequality.org) names "invasions" and "criminals" as the framing the campaign confronted. Source 11 (Jacobin) states the food pivot was adopted because land occupations do not resonate with urban audiences — confirming the pre-reframe urban starting point was unsympathetic. Source 9 (The Nation/Bevins) notes the hat's urban popularity grew during Bolsonaro — implying the 2014 starting point was significantly lower than by 2021–22. No pre-2014 survey exists in the locked set; all four sources characterise the starting position retrospectively and consistently.</w:t>
      </w:r>
      <w:r w:rsidRPr="009B1C92">
        <w:rPr>
          <w:sz w:val="20"/>
          <w:szCs w:val="20"/>
        </w:rPr>
        <w:br/>
        <w:t>Confidence: Medium — strong convergent retrospective characterisation across four independent sources; inference is well-grounded but remains inference in the absence of a baseline survey.</w:t>
      </w:r>
      <w:r w:rsidRPr="009B1C92">
        <w:rPr>
          <w:sz w:val="20"/>
          <w:szCs w:val="20"/>
        </w:rPr>
        <w:br/>
        <w:t>Source Tag: Sources 8, 9, 10, 11.</w:t>
      </w:r>
    </w:p>
    <w:p w14:paraId="2CF4BC8F" w14:textId="77777777" w:rsidR="009B1C92" w:rsidRPr="009B1C92" w:rsidRDefault="009B1C92" w:rsidP="009B1C92">
      <w:pPr>
        <w:numPr>
          <w:ilvl w:val="0"/>
          <w:numId w:val="53"/>
        </w:numPr>
        <w:rPr>
          <w:sz w:val="20"/>
          <w:szCs w:val="20"/>
        </w:rPr>
      </w:pPr>
      <w:r w:rsidRPr="009B1C92">
        <w:rPr>
          <w:sz w:val="20"/>
          <w:szCs w:val="20"/>
        </w:rPr>
        <w:t>Legal/regulatory landscape</w:t>
      </w:r>
      <w:r w:rsidRPr="009B1C92">
        <w:rPr>
          <w:sz w:val="20"/>
          <w:szCs w:val="20"/>
        </w:rPr>
        <w:br/>
        <w:t>Evidence: Source 2 (Meek et al.) documents two within-window state-level legislative gains: PEAPO (Law No. 21,146, January 14, 2014) and PASSOMG (Law No. 23,939, September 23, 2021). Source 7 (Brasil de Fato) documents PAA budget collapse from R$1.3bn to R$135mn as a within-window policy reversal. Source 5 (IRGAC) documents the bancada ruralista's role blocking land reform legislation. Source 9 (The Nation/Bevins) references Article 186 of the Brazilian Constitution as the foundational legal basis for MST occupations. Source 1 (6th Congress) used here as a Phase 1 source per the permitted exception — the People's Agrarian Reform program directly establishes the legal-framing context operative throughout the window.</w:t>
      </w:r>
      <w:r w:rsidRPr="009B1C92">
        <w:rPr>
          <w:sz w:val="20"/>
          <w:szCs w:val="20"/>
        </w:rPr>
        <w:br/>
        <w:t>Confidence: High — specific legislation with dates, budget figures, constitutional provisions, and named congressional bloc are all directly cited across multiple locked sources.</w:t>
      </w:r>
      <w:r w:rsidRPr="009B1C92">
        <w:rPr>
          <w:sz w:val="20"/>
          <w:szCs w:val="20"/>
        </w:rPr>
        <w:br/>
        <w:t>Source Tag: Sources 1 (Phase 1 exception), 2, 5, 7, 9.</w:t>
      </w:r>
    </w:p>
    <w:p w14:paraId="43F27AB0" w14:textId="77777777" w:rsidR="009B1C92" w:rsidRPr="009B1C92" w:rsidRDefault="009B1C92" w:rsidP="009B1C92">
      <w:pPr>
        <w:numPr>
          <w:ilvl w:val="0"/>
          <w:numId w:val="53"/>
        </w:numPr>
        <w:rPr>
          <w:sz w:val="20"/>
          <w:szCs w:val="20"/>
        </w:rPr>
      </w:pPr>
      <w:r w:rsidRPr="009B1C92">
        <w:rPr>
          <w:sz w:val="20"/>
          <w:szCs w:val="20"/>
        </w:rPr>
        <w:t>Narrative dominance</w:t>
      </w:r>
      <w:r w:rsidRPr="009B1C92">
        <w:rPr>
          <w:sz w:val="20"/>
          <w:szCs w:val="20"/>
        </w:rPr>
        <w:br/>
        <w:t>Evidence: Source 8 (YES! Magazine) names the pre-reframe dominant framing: "land thieves" and "lazy." Source 10 (Inequality.org) names "invasions" and "criminals." Source 9 (The Nation/Bevins) quotes congressional opponent Zucco: "The right to property is respected in the United States... Farmers are valued" — confirming the property-rights counter-narrative in formal institutional settings. Source 11 (Jacobin) explicitly describes the food pivot as a response to a hostile narrative environment. Source 7 (Brasil de Fato) quotes the MST counter-narrative directly: "agribusiness asks: 'How can you produce rice without poison and without chemical fertilizers?'" — confirming active contestation within the window.</w:t>
      </w:r>
      <w:r w:rsidRPr="009B1C92">
        <w:rPr>
          <w:sz w:val="20"/>
          <w:szCs w:val="20"/>
        </w:rPr>
        <w:br/>
        <w:t>Confidence: High — both the initial opposition narrative dominance and the campaign's counter-narrative are directly and explicitly documented across multiple independent sources.</w:t>
      </w:r>
      <w:r w:rsidRPr="009B1C92">
        <w:rPr>
          <w:sz w:val="20"/>
          <w:szCs w:val="20"/>
        </w:rPr>
        <w:br/>
        <w:t>Source Tag: Sources 7, 8, 9, 10, 11.</w:t>
      </w:r>
    </w:p>
    <w:p w14:paraId="48598961" w14:textId="77777777" w:rsidR="009B1C92" w:rsidRPr="009B1C92" w:rsidRDefault="009B1C92" w:rsidP="009B1C92">
      <w:pPr>
        <w:numPr>
          <w:ilvl w:val="0"/>
          <w:numId w:val="53"/>
        </w:numPr>
        <w:rPr>
          <w:sz w:val="20"/>
          <w:szCs w:val="20"/>
        </w:rPr>
      </w:pPr>
      <w:r w:rsidRPr="009B1C92">
        <w:rPr>
          <w:sz w:val="20"/>
          <w:szCs w:val="20"/>
        </w:rPr>
        <w:t>Notable Tactics</w:t>
      </w:r>
    </w:p>
    <w:p w14:paraId="2DF8271B" w14:textId="77777777" w:rsidR="009B1C92" w:rsidRPr="009B1C92" w:rsidRDefault="009B1C92" w:rsidP="009B1C92">
      <w:pPr>
        <w:rPr>
          <w:sz w:val="20"/>
          <w:szCs w:val="20"/>
        </w:rPr>
      </w:pPr>
      <w:r w:rsidRPr="009B1C92">
        <w:rPr>
          <w:sz w:val="20"/>
          <w:szCs w:val="20"/>
        </w:rPr>
        <w:t>a. Deliberate pivot to organic food as political counter-narrative during hostile government period</w:t>
      </w:r>
      <w:r w:rsidRPr="009B1C92">
        <w:rPr>
          <w:sz w:val="20"/>
          <w:szCs w:val="20"/>
        </w:rPr>
        <w:br/>
        <w:t>Evidence: Source 9 (The Nation/Bevins): "the MST chose to slow down its land occupations to protect its members. Meanwhile, it made a tactical alliance with progressive elements of the urban bourgeoisie and used its existing encampments to become a major organic food producer." Source 11 (Jacobin): "flying the unlikely banner of organic food" described explicitly as strategic, with MST described as having "put a new issue on the political agenda. That issue was food."</w:t>
      </w:r>
      <w:r w:rsidRPr="009B1C92">
        <w:rPr>
          <w:sz w:val="20"/>
          <w:szCs w:val="20"/>
        </w:rPr>
        <w:br/>
        <w:t>Confidence: High — strategic intent behind the food pivot directly documented in two independent sources with attribution to named MST leadership.</w:t>
      </w:r>
      <w:r w:rsidRPr="009B1C92">
        <w:rPr>
          <w:sz w:val="20"/>
          <w:szCs w:val="20"/>
        </w:rPr>
        <w:br/>
        <w:t>Source Tag: Sources 9, 11.</w:t>
      </w:r>
    </w:p>
    <w:p w14:paraId="2400FA9F" w14:textId="77777777" w:rsidR="009B1C92" w:rsidRPr="009B1C92" w:rsidRDefault="009B1C92" w:rsidP="009B1C92">
      <w:pPr>
        <w:rPr>
          <w:sz w:val="20"/>
          <w:szCs w:val="20"/>
        </w:rPr>
      </w:pPr>
      <w:r w:rsidRPr="009B1C92">
        <w:rPr>
          <w:sz w:val="20"/>
          <w:szCs w:val="20"/>
        </w:rPr>
        <w:t>b. Armazém do Campo retail stores as urban political and cultural infrastructure</w:t>
      </w:r>
      <w:r w:rsidRPr="009B1C92">
        <w:rPr>
          <w:sz w:val="20"/>
          <w:szCs w:val="20"/>
        </w:rPr>
        <w:br/>
        <w:t>Evidence: Source 3 (Tanaka et al.): 27 stores across 12 states, documented as politically-designed retail hybrid. Source 8 (YES! Magazine): stores described as "much more than just a store... community spaces for political events, art shows, and other cultural activities." Source 11 (Jacobin): "currently twenty-four such stores" as ongoing strategic infrastructure. First store July 2016, São Paulo, confirmed across Sources 3, 8, and 11.</w:t>
      </w:r>
      <w:r w:rsidRPr="009B1C92">
        <w:rPr>
          <w:sz w:val="20"/>
          <w:szCs w:val="20"/>
        </w:rPr>
        <w:br/>
        <w:t>Confidence: High — store network, dual political/retail function, and strategic origins documented across three independent sources.</w:t>
      </w:r>
      <w:r w:rsidRPr="009B1C92">
        <w:rPr>
          <w:sz w:val="20"/>
          <w:szCs w:val="20"/>
        </w:rPr>
        <w:br/>
        <w:t>Source Tag: Sources 3, 8, 11.</w:t>
      </w:r>
    </w:p>
    <w:p w14:paraId="549B67FF" w14:textId="77777777" w:rsidR="009B1C92" w:rsidRPr="009B1C92" w:rsidRDefault="009B1C92" w:rsidP="009B1C92">
      <w:pPr>
        <w:rPr>
          <w:sz w:val="20"/>
          <w:szCs w:val="20"/>
        </w:rPr>
      </w:pPr>
      <w:r w:rsidRPr="009B1C92">
        <w:rPr>
          <w:sz w:val="20"/>
          <w:szCs w:val="20"/>
        </w:rPr>
        <w:lastRenderedPageBreak/>
        <w:t>c. COVID-19 food solidarity as narrative rebuttal</w:t>
      </w:r>
      <w:r w:rsidRPr="009B1C92">
        <w:rPr>
          <w:sz w:val="20"/>
          <w:szCs w:val="20"/>
        </w:rPr>
        <w:br/>
        <w:t>Evidence: Source 5 (IRGAC): "donated more than 6,000 tons of food and 1,150,000 lunch boxes to indigenous communities and institutions." Source 9 (The Nation/Bevins): "the MST shipped 7,000 tons of food for distribution in the cities." Source 8 (YES! Magazine): "donated more than 7,000 tons of food" to struggling families. Source 10 (Inequality.org): "more than 7,000 tons of food, 50,000 face masks, and 2,000 first responders trained." All four sources document the COVID food solidarity in tonnes; no locked source states a "families fed" figure. Variation between IRGAC (6,000 tonnes) and others (7,000 tonnes) reflects different reporting periods.</w:t>
      </w:r>
      <w:r w:rsidRPr="009B1C92">
        <w:rPr>
          <w:sz w:val="20"/>
          <w:szCs w:val="20"/>
        </w:rPr>
        <w:br/>
        <w:t>Confidence: High — documented across four independent sources.</w:t>
      </w:r>
      <w:r w:rsidRPr="009B1C92">
        <w:rPr>
          <w:sz w:val="20"/>
          <w:szCs w:val="20"/>
        </w:rPr>
        <w:br/>
        <w:t>Source Tag: Sources 5, 8, 9, 10.</w:t>
      </w:r>
    </w:p>
    <w:p w14:paraId="68F1915A" w14:textId="77777777" w:rsidR="009B1C92" w:rsidRPr="009B1C92" w:rsidRDefault="009B1C92" w:rsidP="009B1C92">
      <w:pPr>
        <w:rPr>
          <w:sz w:val="20"/>
          <w:szCs w:val="20"/>
        </w:rPr>
      </w:pPr>
      <w:r w:rsidRPr="009B1C92">
        <w:rPr>
          <w:sz w:val="20"/>
          <w:szCs w:val="20"/>
        </w:rPr>
        <w:t>d. Red hat urban branding strategy</w:t>
      </w:r>
      <w:r w:rsidRPr="009B1C92">
        <w:rPr>
          <w:sz w:val="20"/>
          <w:szCs w:val="20"/>
        </w:rPr>
        <w:br/>
        <w:t>Evidence: Source 9 (The Nation/Bevins): hat proliferation in São Paulo raves and art galleries described as "the result of a carefully laid plan to forge links between the MST and broader forces in society." The MST Communications Sector's direct response to the viral tweet ("Land reform requires the support of all of society") is quoted — confirming deliberate institutional cultivation of the urban brand.</w:t>
      </w:r>
      <w:r w:rsidRPr="009B1C92">
        <w:rPr>
          <w:sz w:val="20"/>
          <w:szCs w:val="20"/>
        </w:rPr>
        <w:br/>
        <w:t>Confidence: High — branding strategy's intent and execution directly documented with attribution to MST Communications Sector in a primary journalistic account based on field reporting.</w:t>
      </w:r>
      <w:r w:rsidRPr="009B1C92">
        <w:rPr>
          <w:sz w:val="20"/>
          <w:szCs w:val="20"/>
        </w:rPr>
        <w:br/>
        <w:t>Source Tag: Source 9.</w:t>
      </w:r>
    </w:p>
    <w:p w14:paraId="1662233B" w14:textId="77777777" w:rsidR="009B1C92" w:rsidRPr="009B1C92" w:rsidRDefault="009B1C92" w:rsidP="009B1C92">
      <w:pPr>
        <w:rPr>
          <w:sz w:val="20"/>
          <w:szCs w:val="20"/>
        </w:rPr>
      </w:pPr>
      <w:r w:rsidRPr="009B1C92">
        <w:rPr>
          <w:sz w:val="20"/>
          <w:szCs w:val="20"/>
        </w:rPr>
        <w:t>e. Tactical slowdown of land occupations during hostile period</w:t>
      </w:r>
      <w:r w:rsidRPr="009B1C92">
        <w:rPr>
          <w:sz w:val="20"/>
          <w:szCs w:val="20"/>
        </w:rPr>
        <w:br/>
        <w:t>Evidence: Source 9 (The Nation/Bevins): "the MST chose to slow down its land occupations to protect its members" — attributed directly to MST leadership's strategic assessment of the Bolsonaro threat, explicitly paired with the pivot to urban organic food production.</w:t>
      </w:r>
      <w:r w:rsidRPr="009B1C92">
        <w:rPr>
          <w:sz w:val="20"/>
          <w:szCs w:val="20"/>
        </w:rPr>
        <w:br/>
        <w:t>Confidence: High — directly attributed and framed as a tactical choice in a primary source based on named MST leadership interviews.</w:t>
      </w:r>
      <w:r w:rsidRPr="009B1C92">
        <w:rPr>
          <w:sz w:val="20"/>
          <w:szCs w:val="20"/>
        </w:rPr>
        <w:br/>
        <w:t>Source Tag: Source 9.</w:t>
      </w:r>
    </w:p>
    <w:p w14:paraId="4DEE59BC" w14:textId="77777777" w:rsidR="009B1C92" w:rsidRPr="009B1C92" w:rsidRDefault="009B1C92" w:rsidP="009B1C92">
      <w:pPr>
        <w:rPr>
          <w:sz w:val="20"/>
          <w:szCs w:val="20"/>
        </w:rPr>
      </w:pPr>
      <w:r w:rsidRPr="009B1C92">
        <w:rPr>
          <w:sz w:val="20"/>
          <w:szCs w:val="20"/>
        </w:rPr>
        <w:t>f. Annual Agroecological Rice Harvest Festival as public-facing scale demonstration</w:t>
      </w:r>
      <w:r w:rsidRPr="009B1C92">
        <w:rPr>
          <w:sz w:val="20"/>
          <w:szCs w:val="20"/>
        </w:rPr>
        <w:br/>
        <w:t>Evidence: Source 6 (Friends of MST, organic rice): 20th edition March 2023, approximately 4,000 people, Filhos de Sepé settlement, Viamão; Minister Paulo Teixeira present. Source 7 (Brasil de Fato): same festival independently documented, explicitly framed as counter to agribusiness's "you can't produce without poison" challenge. Both the specific event details and the strategic function are documented.</w:t>
      </w:r>
      <w:r w:rsidRPr="009B1C92">
        <w:rPr>
          <w:sz w:val="20"/>
          <w:szCs w:val="20"/>
        </w:rPr>
        <w:br/>
        <w:t>Confidence: High — details and strategic function documented across two independent sources.</w:t>
      </w:r>
      <w:r w:rsidRPr="009B1C92">
        <w:rPr>
          <w:sz w:val="20"/>
          <w:szCs w:val="20"/>
        </w:rPr>
        <w:br/>
        <w:t>Source Tag: Sources 6, 7.</w:t>
      </w:r>
    </w:p>
    <w:p w14:paraId="4BF57031" w14:textId="77777777" w:rsidR="009B1C92" w:rsidRPr="009B1C92" w:rsidRDefault="009B1C92" w:rsidP="009B1C92">
      <w:pPr>
        <w:rPr>
          <w:sz w:val="20"/>
          <w:szCs w:val="20"/>
        </w:rPr>
      </w:pPr>
      <w:r w:rsidRPr="009B1C92">
        <w:rPr>
          <w:sz w:val="20"/>
          <w:szCs w:val="20"/>
        </w:rPr>
        <w:t>g. University research partnerships for peer-reviewed legitimacy</w:t>
      </w:r>
      <w:r w:rsidRPr="009B1C92">
        <w:rPr>
          <w:sz w:val="20"/>
          <w:szCs w:val="20"/>
        </w:rPr>
        <w:br/>
        <w:t>Evidence: Source 2 (Meek et al.): documents post-2012 expansion of university partnerships and UFRGS collaboration at Quilombo Campo Grande explicitly. Source 7 (Brasil de Fato): cites UFRGS as independent validator of MST organic rice as "largest in Latin America." Sources 2 and 3 themselves are products of the partnership strategy — peer-reviewed outputs validating agroecological production claims.</w:t>
      </w:r>
      <w:r w:rsidRPr="009B1C92">
        <w:rPr>
          <w:sz w:val="20"/>
          <w:szCs w:val="20"/>
        </w:rPr>
        <w:br/>
        <w:t>Confidence: High — named institutions and specific research outputs documented across two independent sources.</w:t>
      </w:r>
      <w:r w:rsidRPr="009B1C92">
        <w:rPr>
          <w:sz w:val="20"/>
          <w:szCs w:val="20"/>
        </w:rPr>
        <w:br/>
        <w:t>Source Tag: Sources 2, 7.</w:t>
      </w:r>
    </w:p>
    <w:p w14:paraId="21DDDB0C" w14:textId="77777777" w:rsidR="009B1C92" w:rsidRPr="009B1C92" w:rsidRDefault="009B1C92" w:rsidP="009B1C92">
      <w:pPr>
        <w:rPr>
          <w:sz w:val="20"/>
          <w:szCs w:val="20"/>
        </w:rPr>
      </w:pPr>
      <w:r w:rsidRPr="009B1C92">
        <w:rPr>
          <w:sz w:val="20"/>
          <w:szCs w:val="20"/>
        </w:rPr>
        <w:t>h. Consumer boycott — "No meu bule não" targeting Nestlé and Jacob's Douwe Egberts</w:t>
      </w:r>
      <w:r w:rsidRPr="009B1C92">
        <w:rPr>
          <w:sz w:val="20"/>
          <w:szCs w:val="20"/>
        </w:rPr>
        <w:br/>
        <w:t>Evidence: Source 2 (Meek et al.) explicitly documents the "No meu bule não" (Not in my pot) consumer boycott campaign targeting Nestlé and Jacob's Douwe Egberts in relation to the Quilombo Campo Grande eviction. Campaign name and specific corporate targets are directly named.</w:t>
      </w:r>
      <w:r w:rsidRPr="009B1C92">
        <w:rPr>
          <w:sz w:val="20"/>
          <w:szCs w:val="20"/>
        </w:rPr>
        <w:br/>
        <w:t>Confidence: High — named, specific, directly documented in a peer-reviewed source with corporate targets identified.</w:t>
      </w:r>
      <w:r w:rsidRPr="009B1C92">
        <w:rPr>
          <w:sz w:val="20"/>
          <w:szCs w:val="20"/>
        </w:rPr>
        <w:br/>
        <w:t>Source Tag: Source 2.</w:t>
      </w:r>
    </w:p>
    <w:p w14:paraId="61C86442" w14:textId="77777777" w:rsidR="009B1C92" w:rsidRPr="009B1C92" w:rsidRDefault="009B1C92" w:rsidP="009B1C92">
      <w:pPr>
        <w:rPr>
          <w:sz w:val="20"/>
          <w:szCs w:val="20"/>
        </w:rPr>
      </w:pPr>
      <w:r w:rsidRPr="009B1C92">
        <w:rPr>
          <w:b/>
          <w:bCs/>
          <w:sz w:val="20"/>
          <w:szCs w:val="20"/>
        </w:rPr>
        <w:t>SOURCE-TO-VARIABLE MAPPING</w:t>
      </w:r>
    </w:p>
    <w:p w14:paraId="5FBB31F5" w14:textId="77777777" w:rsidR="009B1C92" w:rsidRPr="009B1C92" w:rsidRDefault="009B1C92" w:rsidP="009B1C92">
      <w:pPr>
        <w:rPr>
          <w:sz w:val="20"/>
          <w:szCs w:val="20"/>
        </w:rPr>
      </w:pPr>
      <w:r w:rsidRPr="009B1C92">
        <w:rPr>
          <w:sz w:val="20"/>
          <w:szCs w:val="20"/>
        </w:rPr>
        <w:t>Source 1 — Friends of MST, 6th Congress, February 2014 — 1, 13</w:t>
      </w:r>
      <w:r w:rsidRPr="009B1C92">
        <w:rPr>
          <w:sz w:val="20"/>
          <w:szCs w:val="20"/>
        </w:rPr>
        <w:br/>
        <w:t>Source 2 — Meek et al., Elementa 2024 — 2, 4, 8, 11, 13, 15g, 15h</w:t>
      </w:r>
      <w:r w:rsidRPr="009B1C92">
        <w:rPr>
          <w:sz w:val="20"/>
          <w:szCs w:val="20"/>
        </w:rPr>
        <w:br/>
        <w:t>Source 3 — Tanaka et al., Journal of Rural Studies 2026 — 6, 7, 9, 10, 11, 15b</w:t>
      </w:r>
      <w:r w:rsidRPr="009B1C92">
        <w:rPr>
          <w:sz w:val="20"/>
          <w:szCs w:val="20"/>
        </w:rPr>
        <w:br/>
        <w:t>Source 4 — Civil Eats, 2020 — 8</w:t>
      </w:r>
      <w:r w:rsidRPr="009B1C92">
        <w:rPr>
          <w:sz w:val="20"/>
          <w:szCs w:val="20"/>
        </w:rPr>
        <w:br/>
        <w:t>Source 5 — IRGAC, October 2022 — 3, 4, 8, 9, 11, 13, 15c</w:t>
      </w:r>
      <w:r w:rsidRPr="009B1C92">
        <w:rPr>
          <w:sz w:val="20"/>
          <w:szCs w:val="20"/>
        </w:rPr>
        <w:br/>
      </w:r>
      <w:r w:rsidRPr="009B1C92">
        <w:rPr>
          <w:sz w:val="20"/>
          <w:szCs w:val="20"/>
        </w:rPr>
        <w:lastRenderedPageBreak/>
        <w:t>Source 6 — Friends of MST, organic rice harvest, 2023 — 1, 11, 15f</w:t>
      </w:r>
      <w:r w:rsidRPr="009B1C92">
        <w:rPr>
          <w:sz w:val="20"/>
          <w:szCs w:val="20"/>
        </w:rPr>
        <w:br/>
        <w:t>Source 7 — Brasil de Fato — 3, 4, 7, 13, 14, 15f, 15g</w:t>
      </w:r>
      <w:r w:rsidRPr="009B1C92">
        <w:rPr>
          <w:sz w:val="20"/>
          <w:szCs w:val="20"/>
        </w:rPr>
        <w:br/>
        <w:t>Source 8 — YES! Magazine — 4, 5, 6, 12, 14, 15b, 15c</w:t>
      </w:r>
      <w:r w:rsidRPr="009B1C92">
        <w:rPr>
          <w:sz w:val="20"/>
          <w:szCs w:val="20"/>
        </w:rPr>
        <w:br/>
        <w:t>Source 9 — The Nation / Bevins, April 2025 — 1, 2, 3, 4, 5, 7, 8, 9, 12, 14, 15a, 15c, 15d, 15e</w:t>
      </w:r>
      <w:r w:rsidRPr="009B1C92">
        <w:rPr>
          <w:sz w:val="20"/>
          <w:szCs w:val="20"/>
        </w:rPr>
        <w:br/>
        <w:t>Source 10 — Inequality.org — 3, 4, 8, 12, 14, 15c</w:t>
      </w:r>
      <w:r w:rsidRPr="009B1C92">
        <w:rPr>
          <w:sz w:val="20"/>
          <w:szCs w:val="20"/>
        </w:rPr>
        <w:br/>
        <w:t>Source 11 — Jacobin, December 2025 — 2, 5, 7, 10, 11, 12, 14, 15a, 15b</w:t>
      </w:r>
    </w:p>
    <w:p w14:paraId="47CB4A11" w14:textId="77777777" w:rsidR="009B1C92" w:rsidRPr="009B1C92" w:rsidRDefault="009B1C92" w:rsidP="009B1C92">
      <w:pPr>
        <w:rPr>
          <w:sz w:val="20"/>
          <w:szCs w:val="20"/>
        </w:rPr>
      </w:pPr>
      <w:r w:rsidRPr="009B1C92">
        <w:rPr>
          <w:b/>
          <w:bCs/>
          <w:sz w:val="20"/>
          <w:szCs w:val="20"/>
        </w:rPr>
        <w:t>OBSERVATION</w:t>
      </w:r>
    </w:p>
    <w:p w14:paraId="5CE543AB" w14:textId="77777777" w:rsidR="009B1C92" w:rsidRPr="009B1C92" w:rsidRDefault="009B1C92" w:rsidP="009B1C92">
      <w:pPr>
        <w:rPr>
          <w:sz w:val="20"/>
          <w:szCs w:val="20"/>
        </w:rPr>
      </w:pPr>
      <w:r w:rsidRPr="009B1C92">
        <w:rPr>
          <w:sz w:val="20"/>
          <w:szCs w:val="20"/>
        </w:rPr>
        <w:t>Source 9 (The Nation/Bevins) is the most load-bearing single source, contributing to 11 of 15 variables — reflecting its status as the only long-form primary journalistic account based on direct MST field access, multiple encampment visits, and named leadership interviews. This is not a concentration risk in the same sense as dependence on a single narrow document: the core claims in Source 9 are independently corroborated by Sources 5, 7, 8, 10, and 11 across every variable it dominates. Sources 11 (Jacobin) and 2 (Meek et al.) are the next most substantial contributors. All 11 locked sources contribute directly to at least one variable coding.</w:t>
      </w:r>
    </w:p>
    <w:p w14:paraId="5F0D0E5B" w14:textId="77777777" w:rsidR="009B1C92" w:rsidRPr="009B1C92" w:rsidRDefault="009B1C92" w:rsidP="009B1C92">
      <w:pPr>
        <w:rPr>
          <w:sz w:val="20"/>
          <w:szCs w:val="20"/>
        </w:rPr>
      </w:pPr>
      <w:r w:rsidRPr="009B1C92">
        <w:rPr>
          <w:b/>
          <w:bCs/>
          <w:sz w:val="20"/>
          <w:szCs w:val="20"/>
        </w:rPr>
        <w:t>CASE-LEVEL SUMMARY</w:t>
      </w:r>
    </w:p>
    <w:p w14:paraId="12EC97EC" w14:textId="77777777" w:rsidR="009B1C92" w:rsidRPr="009B1C92" w:rsidRDefault="009B1C92" w:rsidP="009B1C92">
      <w:pPr>
        <w:rPr>
          <w:sz w:val="20"/>
          <w:szCs w:val="20"/>
        </w:rPr>
      </w:pPr>
      <w:r w:rsidRPr="009B1C92">
        <w:rPr>
          <w:sz w:val="20"/>
          <w:szCs w:val="20"/>
        </w:rPr>
        <w:t>Variables coded at Low confidence / Insufficient evidence: None — all 15 entries are coded.</w:t>
      </w:r>
    </w:p>
    <w:p w14:paraId="198CEA90" w14:textId="77777777" w:rsidR="009B1C92" w:rsidRPr="009B1C92" w:rsidRDefault="009B1C92" w:rsidP="009B1C92">
      <w:pPr>
        <w:rPr>
          <w:sz w:val="20"/>
          <w:szCs w:val="20"/>
        </w:rPr>
      </w:pPr>
      <w:r w:rsidRPr="009B1C92">
        <w:rPr>
          <w:sz w:val="20"/>
          <w:szCs w:val="20"/>
        </w:rPr>
        <w:t>Variables coded at Medium confidence:</w:t>
      </w:r>
    </w:p>
    <w:p w14:paraId="4E0F6822" w14:textId="77777777" w:rsidR="009B1C92" w:rsidRPr="009B1C92" w:rsidRDefault="009B1C92" w:rsidP="009B1C92">
      <w:pPr>
        <w:rPr>
          <w:sz w:val="20"/>
          <w:szCs w:val="20"/>
        </w:rPr>
      </w:pPr>
      <w:r w:rsidRPr="009B1C92">
        <w:rPr>
          <w:sz w:val="20"/>
          <w:szCs w:val="20"/>
        </w:rPr>
        <w:t>Variable 6 (Degree of behaviour change required) — consumer/cultural dimension is directly evidenced; characterising the government/policy dimension as moderate requires reasonable inference not explicitly stated in any source.</w:t>
      </w:r>
    </w:p>
    <w:p w14:paraId="401AC7AE" w14:textId="77777777" w:rsidR="009B1C92" w:rsidRPr="009B1C92" w:rsidRDefault="009B1C92" w:rsidP="009B1C92">
      <w:pPr>
        <w:rPr>
          <w:sz w:val="20"/>
          <w:szCs w:val="20"/>
        </w:rPr>
      </w:pPr>
      <w:r w:rsidRPr="009B1C92">
        <w:rPr>
          <w:sz w:val="20"/>
          <w:szCs w:val="20"/>
        </w:rPr>
        <w:t>Variable 9 (Economic disruption required) — dual moderate/high characterisation is well-supported but requires synthesis across sources; no single source characterises the disruption level explicitly in these terms.</w:t>
      </w:r>
    </w:p>
    <w:p w14:paraId="5E6B2431" w14:textId="77777777" w:rsidR="009B1C92" w:rsidRPr="009B1C92" w:rsidRDefault="009B1C92" w:rsidP="009B1C92">
      <w:pPr>
        <w:rPr>
          <w:sz w:val="20"/>
          <w:szCs w:val="20"/>
        </w:rPr>
      </w:pPr>
      <w:r w:rsidRPr="009B1C92">
        <w:rPr>
          <w:sz w:val="20"/>
          <w:szCs w:val="20"/>
        </w:rPr>
        <w:t>Variable 12 (Public sentiment starting point) — no pre-2014 survey exists in the locked set; starting point is inferred from retrospective characterisations across four sources consistently describing what the reframe campaign was designed to overcome.</w:t>
      </w:r>
    </w:p>
    <w:p w14:paraId="4F585EAA" w14:textId="77777777" w:rsidR="009B1C92" w:rsidRPr="009B1C92" w:rsidRDefault="009B1C92" w:rsidP="009B1C92">
      <w:pPr>
        <w:rPr>
          <w:sz w:val="20"/>
          <w:szCs w:val="20"/>
        </w:rPr>
      </w:pPr>
      <w:r w:rsidRPr="009B1C92">
        <w:rPr>
          <w:sz w:val="20"/>
          <w:szCs w:val="20"/>
        </w:rPr>
        <w:t>Mixed/Unresolved codings: Variables 10 and 11 (Speed and Scale of change achieved) — open/ongoing campaign per the locked rule; correctly marked Mixed/Unresolved, not Low confidence.</w:t>
      </w:r>
    </w:p>
    <w:p w14:paraId="0C348B0F" w14:textId="77777777" w:rsidR="009B1C92" w:rsidRPr="009B1C92" w:rsidRDefault="009B1C92" w:rsidP="009B1C92">
      <w:pPr>
        <w:rPr>
          <w:sz w:val="20"/>
          <w:szCs w:val="20"/>
        </w:rPr>
      </w:pPr>
      <w:r w:rsidRPr="009B1C92">
        <w:rPr>
          <w:sz w:val="20"/>
          <w:szCs w:val="20"/>
        </w:rPr>
        <w:t>Phase 1/4 exception use: Source 1 (Friends of MST, 6th Congress, February 2014) is a Phase 1 source used for Variable 1 (Target type) and Variable 13 (Legal/regulatory landscape). The Variable 13 use is within the explicitly permitted Phase 1 exception. The Variable 1 use is justified because the 6th Congress document is the campaign's inaugural document, directly defining the People's Agrarian Reform framing operative throughout the window — not historical context imported from outside.</w:t>
      </w:r>
    </w:p>
    <w:p w14:paraId="3D0B5B87" w14:textId="77777777" w:rsidR="009B1C92" w:rsidRPr="009B1C92" w:rsidRDefault="009B1C92" w:rsidP="009B1C92">
      <w:pPr>
        <w:rPr>
          <w:sz w:val="20"/>
          <w:szCs w:val="20"/>
        </w:rPr>
      </w:pPr>
      <w:r w:rsidRPr="009B1C92">
        <w:rPr>
          <w:b/>
          <w:bCs/>
          <w:sz w:val="20"/>
          <w:szCs w:val="20"/>
        </w:rPr>
        <w:t>OVERALL CASE CONFIDENCE/QUALITY FLAG</w:t>
      </w:r>
    </w:p>
    <w:p w14:paraId="77C322D4" w14:textId="77777777" w:rsidR="009B1C92" w:rsidRPr="009B1C92" w:rsidRDefault="009B1C92" w:rsidP="009B1C92">
      <w:pPr>
        <w:rPr>
          <w:sz w:val="20"/>
          <w:szCs w:val="20"/>
        </w:rPr>
      </w:pPr>
      <w:r w:rsidRPr="009B1C92">
        <w:rPr>
          <w:sz w:val="20"/>
          <w:szCs w:val="20"/>
        </w:rPr>
        <w:t>High. Ten of 15 variables are at High confidence; three are at Medium with clearly stated structural reasons; two are Mixed/Unresolved per the open campaign protocol. Source diversity spans peer-reviewed academic (Sources 2, 3), independent long-form investigative journalism (Source 9), specialist features (Sources 8, 11), NGO and international coalition reporting (Sources 4, 5, 10), movement-adjacent documentation (Sources 1, 6), and independent Brazilian press (Source 7). All 11 locked sources contribute variable-level coding evidence. The three errors identified in the prior coding are fully corrected: the fabricated "5 million families" COVID figure is replaced with the sourced 6,000–7,000 tonnes confirmed across four sources; the understated "400,000+" membership figure is replaced with the sourced characterisation of up to 2 million people; claims attributed to Source 9 are now fully verified from the live-fetched article text.</w:t>
      </w:r>
    </w:p>
    <w:p w14:paraId="174DC8DA" w14:textId="77777777" w:rsidR="009B1C92" w:rsidRPr="009B1C92" w:rsidRDefault="009B1C92" w:rsidP="009B1C92">
      <w:pPr>
        <w:rPr>
          <w:sz w:val="20"/>
          <w:szCs w:val="20"/>
        </w:rPr>
      </w:pPr>
      <w:r w:rsidRPr="009B1C92">
        <w:rPr>
          <w:b/>
          <w:bCs/>
          <w:sz w:val="20"/>
          <w:szCs w:val="20"/>
        </w:rPr>
        <w:t>HINDSIGHT NOTES</w:t>
      </w:r>
    </w:p>
    <w:p w14:paraId="1E1F1C2E" w14:textId="77777777" w:rsidR="009B1C92" w:rsidRPr="009B1C92" w:rsidRDefault="009B1C92" w:rsidP="009B1C92">
      <w:pPr>
        <w:rPr>
          <w:sz w:val="20"/>
          <w:szCs w:val="20"/>
        </w:rPr>
      </w:pPr>
      <w:r w:rsidRPr="009B1C92">
        <w:rPr>
          <w:sz w:val="20"/>
          <w:szCs w:val="20"/>
        </w:rPr>
        <w:t>Hindsight note: Variables 10 and 11 (Speed and Scale) — if the Lula government delivers on expanded land redistribution and PAA restoration in 2025–2026, these Mixed/Unresolved codings would resolve toward High on both dimensions; Sources 9 and 11 both indicate conditions for resolution exist post-Bolsonaro but are not yet achieved.</w:t>
      </w:r>
    </w:p>
    <w:p w14:paraId="2A88C10B" w14:textId="77777777" w:rsidR="009B1C92" w:rsidRPr="009B1C92" w:rsidRDefault="009B1C92" w:rsidP="009B1C92">
      <w:pPr>
        <w:rPr>
          <w:sz w:val="20"/>
          <w:szCs w:val="20"/>
        </w:rPr>
      </w:pPr>
      <w:r w:rsidRPr="009B1C92">
        <w:rPr>
          <w:sz w:val="20"/>
          <w:szCs w:val="20"/>
        </w:rPr>
        <w:lastRenderedPageBreak/>
        <w:t>Hindsight note: Variable 3 (Strength of opposition) — the January 2025 Olga Benário shooting (two MST members killed, four wounded, two hours from São Paulo) documented in Source 9 suggests opposition is willing to use lethal violence even post-Bolsonaro; escalation in 2025–2026 would add a dimension to the High opposition coding.</w:t>
      </w:r>
    </w:p>
    <w:p w14:paraId="5B627C8A" w14:textId="77777777" w:rsidR="009B1C92" w:rsidRPr="009B1C92" w:rsidRDefault="009B1C92" w:rsidP="009B1C92">
      <w:pPr>
        <w:rPr>
          <w:sz w:val="20"/>
          <w:szCs w:val="20"/>
        </w:rPr>
      </w:pPr>
      <w:r w:rsidRPr="009B1C92">
        <w:rPr>
          <w:sz w:val="20"/>
          <w:szCs w:val="20"/>
        </w:rPr>
        <w:t>Hindsight note: Variable 14 (Narrative dominance) — if MST's organic brand achieves mainstream rather than progressive-niche cultural dominance, the "contested" coding would shift toward "campaign narrative now dominant in urban discourse." Not yet achieved per the locked source set.</w:t>
      </w:r>
    </w:p>
    <w:p w14:paraId="6C50A727" w14:textId="77777777" w:rsidR="009B1C92" w:rsidRPr="009B1C92" w:rsidRDefault="009B1C92" w:rsidP="009B1C92">
      <w:pPr>
        <w:rPr>
          <w:sz w:val="20"/>
          <w:szCs w:val="20"/>
        </w:rPr>
      </w:pPr>
      <w:r w:rsidRPr="009B1C92">
        <w:rPr>
          <w:sz w:val="20"/>
          <w:szCs w:val="20"/>
        </w:rPr>
        <w:t>Hindsight note: Variable 6 (Degree of behaviour change required) — if the organic food pivot is eventually codified into PAA purchasing requirements at federal level, the government dimension of behaviour change would shift from policy restoration (moderate) to institutionalised procurement mandate.</w:t>
      </w:r>
    </w:p>
    <w:p w14:paraId="6D296805" w14:textId="77777777" w:rsidR="009B1C92" w:rsidRPr="009B1C92" w:rsidRDefault="009B1C92" w:rsidP="009B1C92">
      <w:pPr>
        <w:rPr>
          <w:sz w:val="20"/>
          <w:szCs w:val="20"/>
        </w:rPr>
      </w:pPr>
      <w:r w:rsidRPr="009B1C92">
        <w:rPr>
          <w:sz w:val="20"/>
          <w:szCs w:val="20"/>
        </w:rPr>
        <w:t>No hindsight notes applicable for Variable 12 (Public sentiment starting point) — the inference from retrospective sources is the best available approach given the structural absence of pre-2014 survey data; this gap is not resolvable by post-window evidence.</w:t>
      </w:r>
    </w:p>
    <w:p w14:paraId="6C4F6345" w14:textId="3F040C13" w:rsidR="003C0E0B" w:rsidRPr="003C0E0B" w:rsidRDefault="003C0E0B" w:rsidP="003C0E0B">
      <w:pPr>
        <w:pStyle w:val="Heading1"/>
      </w:pPr>
      <w:r>
        <w:t>CASE 20: Greenpeace Detox My Fashion</w:t>
      </w:r>
      <w:r w:rsidR="009D6200">
        <w:t xml:space="preserve"> campaign</w:t>
      </w:r>
    </w:p>
    <w:p w14:paraId="2917173A" w14:textId="77777777" w:rsidR="00B40389" w:rsidRPr="00B40389" w:rsidRDefault="00B40389" w:rsidP="00B40389">
      <w:pPr>
        <w:rPr>
          <w:sz w:val="20"/>
          <w:szCs w:val="20"/>
        </w:rPr>
      </w:pPr>
      <w:r w:rsidRPr="00B40389">
        <w:rPr>
          <w:b/>
          <w:bCs/>
          <w:sz w:val="20"/>
          <w:szCs w:val="20"/>
        </w:rPr>
        <w:t>LIST B — EVIDENCE / CONFIDENCE / SOURCE TAG</w:t>
      </w:r>
    </w:p>
    <w:p w14:paraId="75E2D918" w14:textId="77777777" w:rsidR="00B40389" w:rsidRPr="00B40389" w:rsidRDefault="00B40389" w:rsidP="00B40389">
      <w:pPr>
        <w:rPr>
          <w:sz w:val="20"/>
          <w:szCs w:val="20"/>
        </w:rPr>
      </w:pPr>
      <w:r w:rsidRPr="00B40389">
        <w:rPr>
          <w:b/>
          <w:bCs/>
          <w:sz w:val="20"/>
          <w:szCs w:val="20"/>
        </w:rPr>
        <w:t>Greenpeace Detox My Fashion (2011–2021)</w:t>
      </w:r>
    </w:p>
    <w:p w14:paraId="1AAF636F" w14:textId="77777777" w:rsidR="00B40389" w:rsidRPr="00B40389" w:rsidRDefault="00B40389" w:rsidP="00B40389">
      <w:pPr>
        <w:numPr>
          <w:ilvl w:val="0"/>
          <w:numId w:val="51"/>
        </w:numPr>
        <w:rPr>
          <w:sz w:val="20"/>
          <w:szCs w:val="20"/>
        </w:rPr>
      </w:pPr>
      <w:r w:rsidRPr="00B40389">
        <w:rPr>
          <w:b/>
          <w:bCs/>
          <w:sz w:val="20"/>
          <w:szCs w:val="20"/>
        </w:rPr>
        <w:t>Target type</w:t>
      </w:r>
      <w:r w:rsidRPr="00B40389">
        <w:rPr>
          <w:b/>
          <w:bCs/>
          <w:sz w:val="20"/>
          <w:szCs w:val="20"/>
        </w:rPr>
        <w:br/>
      </w:r>
      <w:r w:rsidRPr="00B40389">
        <w:rPr>
          <w:sz w:val="20"/>
          <w:szCs w:val="20"/>
        </w:rPr>
        <w:t xml:space="preserve"> Evidence: Source 1 (Dirty Laundry) directly names and targets specific multinational fashion brands with evidence of toxic discharge links; Sources 5 and 6 document brand commitments (H&amp;M, Zara/Inditex) as the campaign's primary mechanism of change; Sources 10 and 11 explicitly document the campaign's conclusion that corporate targets had been insufficient and regulatory intervention was now required, marking the emergence of government as a secondary target.</w:t>
      </w:r>
      <w:r w:rsidRPr="00B40389">
        <w:rPr>
          <w:sz w:val="20"/>
          <w:szCs w:val="20"/>
        </w:rPr>
        <w:br/>
        <w:t xml:space="preserve"> Confidence: High — primary target (brands) and the pivot to regulatory advocacy at window close are both directly and explicitly evidenced across multiple independent sources.</w:t>
      </w:r>
      <w:r w:rsidRPr="00B40389">
        <w:rPr>
          <w:sz w:val="20"/>
          <w:szCs w:val="20"/>
        </w:rPr>
        <w:br/>
        <w:t xml:space="preserve"> Source Tag: #1, #5, #6, #10, #11.</w:t>
      </w:r>
    </w:p>
    <w:p w14:paraId="55865A96" w14:textId="77777777" w:rsidR="00B40389" w:rsidRPr="00B40389" w:rsidRDefault="00B40389" w:rsidP="00B40389">
      <w:pPr>
        <w:numPr>
          <w:ilvl w:val="0"/>
          <w:numId w:val="51"/>
        </w:numPr>
        <w:rPr>
          <w:sz w:val="20"/>
          <w:szCs w:val="20"/>
        </w:rPr>
      </w:pPr>
      <w:r w:rsidRPr="00B40389">
        <w:rPr>
          <w:b/>
          <w:bCs/>
          <w:sz w:val="20"/>
          <w:szCs w:val="20"/>
        </w:rPr>
        <w:t>Concentration of decision-making power</w:t>
      </w:r>
      <w:r w:rsidRPr="00B40389">
        <w:rPr>
          <w:b/>
          <w:bCs/>
          <w:sz w:val="20"/>
          <w:szCs w:val="20"/>
        </w:rPr>
        <w:br/>
      </w:r>
      <w:r w:rsidRPr="00B40389">
        <w:rPr>
          <w:sz w:val="20"/>
          <w:szCs w:val="20"/>
        </w:rPr>
        <w:t xml:space="preserve"> Evidence: Sources 5 and 6 document individual brand commitments (H&amp;M, Zara) as discrete corporate decisions by senior leadership, demonstrating the concentrated nature of each individual win; Source 9 (Destination Zero) documents 80+ brands having committed by 2018, demonstrating that the campaign had to accumulate these concentrated decisions sequentially across many firms; Sources 10 and 11 document the subsequent pivot to regulatory targets, adding a diffuse government tier at window close.</w:t>
      </w:r>
      <w:r w:rsidRPr="00B40389">
        <w:rPr>
          <w:sz w:val="20"/>
          <w:szCs w:val="20"/>
        </w:rPr>
        <w:br/>
        <w:t xml:space="preserve"> Confidence: High — each individual decision point was concentrated; the aggregate task was moderately dispersed across many such decisions; both dimensions are directly evidenced.</w:t>
      </w:r>
      <w:r w:rsidRPr="00B40389">
        <w:rPr>
          <w:sz w:val="20"/>
          <w:szCs w:val="20"/>
        </w:rPr>
        <w:br/>
        <w:t xml:space="preserve"> Source Tag: #5, #6, #9, #10, #11.</w:t>
      </w:r>
    </w:p>
    <w:p w14:paraId="1E4E0E5A" w14:textId="77777777" w:rsidR="00B40389" w:rsidRPr="00B40389" w:rsidRDefault="00B40389" w:rsidP="00B40389">
      <w:pPr>
        <w:numPr>
          <w:ilvl w:val="0"/>
          <w:numId w:val="51"/>
        </w:numPr>
        <w:rPr>
          <w:sz w:val="20"/>
          <w:szCs w:val="20"/>
        </w:rPr>
      </w:pPr>
      <w:r w:rsidRPr="00B40389">
        <w:rPr>
          <w:b/>
          <w:bCs/>
          <w:sz w:val="20"/>
          <w:szCs w:val="20"/>
        </w:rPr>
        <w:t>Strength of opposition</w:t>
      </w:r>
      <w:r w:rsidRPr="00B40389">
        <w:rPr>
          <w:b/>
          <w:bCs/>
          <w:sz w:val="20"/>
          <w:szCs w:val="20"/>
        </w:rPr>
        <w:br/>
      </w:r>
      <w:r w:rsidRPr="00B40389">
        <w:rPr>
          <w:sz w:val="20"/>
          <w:szCs w:val="20"/>
        </w:rPr>
        <w:t xml:space="preserve"> Evidence: Source 7 (Sourcing Journal) documents Gap as a notable non-signatory holdout as of 2018; Source 10 (Self-regulation report) documents persistent compliance gaps and insufficient progress, implying ongoing brand resistance; no locked source documents an organised industry counter-campaign, lobbying effort, legal challenge, or significant financial mobilisation against the Detox commitments.</w:t>
      </w:r>
      <w:r w:rsidRPr="00B40389">
        <w:rPr>
          <w:sz w:val="20"/>
          <w:szCs w:val="20"/>
        </w:rPr>
        <w:br/>
        <w:t xml:space="preserve"> Confidence: Medium — the passive character of opposition (non-commitment rather than active resistance) is consistent across sources, but the locked set does not include a source that directly characterises industry opposition resources or strategy from the opposition's own perspective; the Medium rating reflects this evidential gap rather than uncertainty about the coding direction.</w:t>
      </w:r>
      <w:r w:rsidRPr="00B40389">
        <w:rPr>
          <w:sz w:val="20"/>
          <w:szCs w:val="20"/>
        </w:rPr>
        <w:br/>
        <w:t xml:space="preserve"> Source Tag: #7, #10.</w:t>
      </w:r>
    </w:p>
    <w:p w14:paraId="33894EB7" w14:textId="77777777" w:rsidR="00B40389" w:rsidRPr="00B40389" w:rsidRDefault="00B40389" w:rsidP="00B40389">
      <w:pPr>
        <w:numPr>
          <w:ilvl w:val="0"/>
          <w:numId w:val="51"/>
        </w:numPr>
        <w:rPr>
          <w:sz w:val="20"/>
          <w:szCs w:val="20"/>
        </w:rPr>
      </w:pPr>
      <w:r w:rsidRPr="00B40389">
        <w:rPr>
          <w:b/>
          <w:bCs/>
          <w:sz w:val="20"/>
          <w:szCs w:val="20"/>
        </w:rPr>
        <w:t>Type of opposition</w:t>
      </w:r>
      <w:r w:rsidRPr="00B40389">
        <w:rPr>
          <w:b/>
          <w:bCs/>
          <w:sz w:val="20"/>
          <w:szCs w:val="20"/>
        </w:rPr>
        <w:br/>
      </w:r>
      <w:r w:rsidRPr="00B40389">
        <w:rPr>
          <w:sz w:val="20"/>
          <w:szCs w:val="20"/>
        </w:rPr>
        <w:t xml:space="preserve"> Evidence: Source 7 documents brand non-commitment (Gap as named holdout); Source 8 (ChemSec) documents partial compliance (brands signing but supply chains not fully detoxified); Source 10 explicitly frames voluntary self-regulation as having been adopted by industry in a way that failed to deliver full detoxification — the </w:t>
      </w:r>
      <w:r w:rsidRPr="00B40389">
        <w:rPr>
          <w:sz w:val="20"/>
          <w:szCs w:val="20"/>
        </w:rPr>
        <w:lastRenderedPageBreak/>
        <w:t>"self-regulation fairytale" framing is a direct identification of co-optation as the operative opposition mechanism. No locked source documents legal challenge or public counter-campaign.</w:t>
      </w:r>
      <w:r w:rsidRPr="00B40389">
        <w:rPr>
          <w:sz w:val="20"/>
          <w:szCs w:val="20"/>
        </w:rPr>
        <w:br/>
        <w:t xml:space="preserve"> Confidence: High — delay, non-commitment, and co-optation are each directly evidenced; Source 10's framing is particularly direct.</w:t>
      </w:r>
      <w:r w:rsidRPr="00B40389">
        <w:rPr>
          <w:sz w:val="20"/>
          <w:szCs w:val="20"/>
        </w:rPr>
        <w:br/>
        <w:t xml:space="preserve"> Source Tag: #7, #8, #10.</w:t>
      </w:r>
    </w:p>
    <w:p w14:paraId="359D88EA" w14:textId="77777777" w:rsidR="00B40389" w:rsidRPr="00B40389" w:rsidRDefault="00B40389" w:rsidP="00B40389">
      <w:pPr>
        <w:numPr>
          <w:ilvl w:val="0"/>
          <w:numId w:val="51"/>
        </w:numPr>
        <w:rPr>
          <w:sz w:val="20"/>
          <w:szCs w:val="20"/>
        </w:rPr>
      </w:pPr>
      <w:r w:rsidRPr="00B40389">
        <w:rPr>
          <w:b/>
          <w:bCs/>
          <w:sz w:val="20"/>
          <w:szCs w:val="20"/>
        </w:rPr>
        <w:t>Visibility of harm</w:t>
      </w:r>
      <w:r w:rsidRPr="00B40389">
        <w:rPr>
          <w:b/>
          <w:bCs/>
          <w:sz w:val="20"/>
          <w:szCs w:val="20"/>
        </w:rPr>
        <w:br/>
      </w:r>
      <w:r w:rsidRPr="00B40389">
        <w:rPr>
          <w:sz w:val="20"/>
          <w:szCs w:val="20"/>
        </w:rPr>
        <w:t xml:space="preserve"> Evidence: Source 1 (Dirty Laundry) explicitly frames the report as exposing previously hidden connections between branded fashion and toxic water pollution in Chinese manufacturing; the report was structured as a revelation (naming brands, presenting lab test results) specifically because the harm was invisible to consumers. Source 4 (MobLab) directly states the campaign team's objective was to move the issue "higher up the political agenda" from a position where it was absent. Source 2 (Grappi et al.) documents the campaign's in-window role in generating consumer awareness — confirming that awareness-building was a necessary early phase rather than a condition already met.</w:t>
      </w:r>
      <w:r w:rsidRPr="00B40389">
        <w:rPr>
          <w:sz w:val="20"/>
          <w:szCs w:val="20"/>
        </w:rPr>
        <w:br/>
        <w:t xml:space="preserve"> Confidence: High — the pre-campaign invisibility of harm is both directly stated by campaign actors (Source 4) and structurally implied by the design of the launch document (Source 1); Source 2 corroborates.</w:t>
      </w:r>
      <w:r w:rsidRPr="00B40389">
        <w:rPr>
          <w:sz w:val="20"/>
          <w:szCs w:val="20"/>
        </w:rPr>
        <w:br/>
        <w:t xml:space="preserve"> Source Tag: #1, #4, #2.</w:t>
      </w:r>
    </w:p>
    <w:p w14:paraId="779A48F4" w14:textId="77777777" w:rsidR="00B40389" w:rsidRPr="00B40389" w:rsidRDefault="00B40389" w:rsidP="00B40389">
      <w:pPr>
        <w:numPr>
          <w:ilvl w:val="0"/>
          <w:numId w:val="51"/>
        </w:numPr>
        <w:rPr>
          <w:sz w:val="20"/>
          <w:szCs w:val="20"/>
        </w:rPr>
      </w:pPr>
      <w:r w:rsidRPr="00B40389">
        <w:rPr>
          <w:b/>
          <w:bCs/>
          <w:sz w:val="20"/>
          <w:szCs w:val="20"/>
        </w:rPr>
        <w:t>Degree of behaviour change required</w:t>
      </w:r>
      <w:r w:rsidRPr="00B40389">
        <w:rPr>
          <w:b/>
          <w:bCs/>
          <w:sz w:val="20"/>
          <w:szCs w:val="20"/>
        </w:rPr>
        <w:br/>
      </w:r>
      <w:r w:rsidRPr="00B40389">
        <w:rPr>
          <w:sz w:val="20"/>
          <w:szCs w:val="20"/>
        </w:rPr>
        <w:t xml:space="preserve"> Evidence: Source 9 (Destination Zero) documents the scale of supply chain transformation required — chemical-by-chemical substitution across complex global supplier networks involving hundreds of factories and multiple tiers of production; Source 8 (ChemSec) characterises the technical complexity of hazardous chemical elimination; Source 4 documents the campaign's deliberate choice to focus pressure on brands rather than consumers, explicitly minimising the consumer behaviour change ask; Source 10 documents persistent non-compliance at the 10-year mark, consistent with the genuine difficulty of the required change.</w:t>
      </w:r>
      <w:r w:rsidRPr="00B40389">
        <w:rPr>
          <w:sz w:val="20"/>
          <w:szCs w:val="20"/>
        </w:rPr>
        <w:br/>
        <w:t xml:space="preserve"> Confidence: High — the technical depth of brand-level change required and the deliberate minimisation of consumer-level change ask are both directly evidenced.</w:t>
      </w:r>
      <w:r w:rsidRPr="00B40389">
        <w:rPr>
          <w:sz w:val="20"/>
          <w:szCs w:val="20"/>
        </w:rPr>
        <w:br/>
        <w:t xml:space="preserve"> Source Tag: #4, #8, #9, #10.</w:t>
      </w:r>
    </w:p>
    <w:p w14:paraId="74EDB192" w14:textId="77777777" w:rsidR="00B40389" w:rsidRPr="00B40389" w:rsidRDefault="00B40389" w:rsidP="00B40389">
      <w:pPr>
        <w:numPr>
          <w:ilvl w:val="0"/>
          <w:numId w:val="51"/>
        </w:numPr>
        <w:rPr>
          <w:sz w:val="20"/>
          <w:szCs w:val="20"/>
        </w:rPr>
      </w:pPr>
      <w:r w:rsidRPr="00B40389">
        <w:rPr>
          <w:b/>
          <w:bCs/>
          <w:sz w:val="20"/>
          <w:szCs w:val="20"/>
        </w:rPr>
        <w:t>Role of policy vs market pressure vs cultural shift</w:t>
      </w:r>
      <w:r w:rsidRPr="00B40389">
        <w:rPr>
          <w:b/>
          <w:bCs/>
          <w:sz w:val="20"/>
          <w:szCs w:val="20"/>
        </w:rPr>
        <w:br/>
      </w:r>
      <w:r w:rsidRPr="00B40389">
        <w:rPr>
          <w:sz w:val="20"/>
          <w:szCs w:val="20"/>
        </w:rPr>
        <w:t xml:space="preserve"> Evidence: Sources 5 and 6 document brand commitments driven by reputational threat — the Zara and H&amp;M commitments are not legislative mandates but voluntary responses to market/reputational pressure; Source 9 documents ZDHC as a private-sector market mechanism (industry-led, not government-mandated); Source 2 (Grappi et al.) provides empirical evidence of consumer-level attitude shifts toward brands associated with toxic chemicals, confirming cultural shift as a supporting mechanism; Sources 10 and 11 document the explicit call for regulation as the unachieved goal, confirming policy change was not delivered within the window.</w:t>
      </w:r>
      <w:r w:rsidRPr="00B40389">
        <w:rPr>
          <w:sz w:val="20"/>
          <w:szCs w:val="20"/>
        </w:rPr>
        <w:br/>
        <w:t xml:space="preserve"> Confidence: High — all three mechanisms are evidenced, and the hierarchy (market dominant, cultural supporting, policy aspirational-but-unachieved) is clearly supported.</w:t>
      </w:r>
      <w:r w:rsidRPr="00B40389">
        <w:rPr>
          <w:sz w:val="20"/>
          <w:szCs w:val="20"/>
        </w:rPr>
        <w:br/>
        <w:t xml:space="preserve"> Source Tag: #2, #5, #6, #9, #10, #11.</w:t>
      </w:r>
    </w:p>
    <w:p w14:paraId="5DC234D5" w14:textId="77777777" w:rsidR="00B40389" w:rsidRPr="00B40389" w:rsidRDefault="00B40389" w:rsidP="00B40389">
      <w:pPr>
        <w:numPr>
          <w:ilvl w:val="0"/>
          <w:numId w:val="51"/>
        </w:numPr>
        <w:rPr>
          <w:sz w:val="20"/>
          <w:szCs w:val="20"/>
        </w:rPr>
      </w:pPr>
      <w:r w:rsidRPr="00B40389">
        <w:rPr>
          <w:b/>
          <w:bCs/>
          <w:sz w:val="20"/>
          <w:szCs w:val="20"/>
        </w:rPr>
        <w:t>Coalition size, type, and presence of non-obvious allies</w:t>
      </w:r>
      <w:r w:rsidRPr="00B40389">
        <w:rPr>
          <w:b/>
          <w:bCs/>
          <w:sz w:val="20"/>
          <w:szCs w:val="20"/>
        </w:rPr>
        <w:br/>
      </w:r>
      <w:r w:rsidRPr="00B40389">
        <w:rPr>
          <w:sz w:val="20"/>
          <w:szCs w:val="20"/>
        </w:rPr>
        <w:t xml:space="preserve"> Evidence: Source 4 documents the Greenpeace-led campaign structure and consumer mobilisation strategy; Source 9 documents ZDHC membership as eventually including major brands as co-participants (a form of coalition expansion into the target sector); Source 8 (ChemSec) functions in the locked set as an independent technical body providing external validation — its role is not that of a co-campaigner but of a credible third-party assessor, which is a distinct coalition function. No locked source names faith communities, business associations, public health bodies, or political allies as active coalition partners; the coalition remained within the environmental/sustainability NGO space.</w:t>
      </w:r>
      <w:r w:rsidRPr="00B40389">
        <w:rPr>
          <w:sz w:val="20"/>
          <w:szCs w:val="20"/>
        </w:rPr>
        <w:br/>
        <w:t xml:space="preserve"> Confidence: Medium — coalition structure and ChemSec's technical validation role are directly evidenced; the absence of non-obvious allies is a genuine evidential finding rather than a gap, but the locked set does not include a comprehensive coalition mapping document, so narrower partnerships not captured in the primary campaign documentation could exist but not be evidenced here.</w:t>
      </w:r>
      <w:r w:rsidRPr="00B40389">
        <w:rPr>
          <w:sz w:val="20"/>
          <w:szCs w:val="20"/>
        </w:rPr>
        <w:br/>
        <w:t xml:space="preserve"> Source Tag: #4, #8, #9.</w:t>
      </w:r>
    </w:p>
    <w:p w14:paraId="7E71C6E3" w14:textId="77777777" w:rsidR="00B40389" w:rsidRPr="00B40389" w:rsidRDefault="00B40389" w:rsidP="00B40389">
      <w:pPr>
        <w:numPr>
          <w:ilvl w:val="0"/>
          <w:numId w:val="51"/>
        </w:numPr>
        <w:rPr>
          <w:sz w:val="20"/>
          <w:szCs w:val="20"/>
        </w:rPr>
      </w:pPr>
      <w:r w:rsidRPr="00B40389">
        <w:rPr>
          <w:b/>
          <w:bCs/>
          <w:sz w:val="20"/>
          <w:szCs w:val="20"/>
        </w:rPr>
        <w:t>Economic disruption required</w:t>
      </w:r>
      <w:r w:rsidRPr="00B40389">
        <w:rPr>
          <w:b/>
          <w:bCs/>
          <w:sz w:val="20"/>
          <w:szCs w:val="20"/>
        </w:rPr>
        <w:br/>
      </w:r>
      <w:r w:rsidRPr="00B40389">
        <w:rPr>
          <w:sz w:val="20"/>
          <w:szCs w:val="20"/>
        </w:rPr>
        <w:t xml:space="preserve"> Evidence: Source 9 documents the scale of supply chain transformation required — but frames it as achievable </w:t>
      </w:r>
      <w:r w:rsidRPr="00B40389">
        <w:rPr>
          <w:sz w:val="20"/>
          <w:szCs w:val="20"/>
        </w:rPr>
        <w:lastRenderedPageBreak/>
        <w:t>and partially achieved, consistent with the change being costly but not existentially disruptive to brands' business models; Source 8 (ChemSec) documents the chemical sector's response to Detox requirements, indicating that reformulation costs fell primarily on chemical suppliers; Source 10 frames persistent non-compliance partly as reflecting the difficulty and cost of full substitution, implying real but bounded disruption.</w:t>
      </w:r>
      <w:r w:rsidRPr="00B40389">
        <w:rPr>
          <w:sz w:val="20"/>
          <w:szCs w:val="20"/>
        </w:rPr>
        <w:br/>
        <w:t xml:space="preserve"> Confidence: Medium — the moderate character of economic disruption (real supply-chain transition cost, not business-model-level disruption) is consistently implied across sources; no locked source directly quantifies compliance costs or provides a financial analysis of disruption, so the coding relies on inference from supply chain transformation scope rather than direct cost evidence.</w:t>
      </w:r>
      <w:r w:rsidRPr="00B40389">
        <w:rPr>
          <w:sz w:val="20"/>
          <w:szCs w:val="20"/>
        </w:rPr>
        <w:br/>
        <w:t xml:space="preserve"> Source Tag: #8, #9, #10.</w:t>
      </w:r>
    </w:p>
    <w:p w14:paraId="6DE7E7CD" w14:textId="77777777" w:rsidR="00B40389" w:rsidRPr="00B40389" w:rsidRDefault="00B40389" w:rsidP="00B40389">
      <w:pPr>
        <w:numPr>
          <w:ilvl w:val="0"/>
          <w:numId w:val="51"/>
        </w:numPr>
        <w:rPr>
          <w:sz w:val="20"/>
          <w:szCs w:val="20"/>
        </w:rPr>
      </w:pPr>
      <w:r w:rsidRPr="00B40389">
        <w:rPr>
          <w:b/>
          <w:bCs/>
          <w:sz w:val="20"/>
          <w:szCs w:val="20"/>
        </w:rPr>
        <w:t>Speed of change achieved</w:t>
      </w:r>
      <w:r w:rsidRPr="00B40389">
        <w:rPr>
          <w:b/>
          <w:bCs/>
          <w:sz w:val="20"/>
          <w:szCs w:val="20"/>
        </w:rPr>
        <w:br/>
      </w:r>
      <w:r w:rsidRPr="00B40389">
        <w:rPr>
          <w:sz w:val="20"/>
          <w:szCs w:val="20"/>
        </w:rPr>
        <w:t xml:space="preserve"> Evidence: Source 5 documents H&amp;M commitment as an early-window win (dated 2011–2013 period); Source 6 documents Zara/Inditex commitment in November 2012 — within 17 months of campaign launch; Source 9 documents 80+ brands committed by 2018 (7 years after launch), with ZDHC operational throughout; Source 10 documents that at the 10-year mark (window close), full supply chain detoxification remained incomplete, indicating a fast initial cascade followed by slow and incomplete full implementation.</w:t>
      </w:r>
      <w:r w:rsidRPr="00B40389">
        <w:rPr>
          <w:sz w:val="20"/>
          <w:szCs w:val="20"/>
        </w:rPr>
        <w:br/>
        <w:t xml:space="preserve"> Confidence: High — the timeline of major milestones is precisely evidenced across multiple sources; the fast/slow distinction is directly supported.</w:t>
      </w:r>
      <w:r w:rsidRPr="00B40389">
        <w:rPr>
          <w:sz w:val="20"/>
          <w:szCs w:val="20"/>
        </w:rPr>
        <w:br/>
        <w:t xml:space="preserve"> Source Tag: #5, #6, #9, #10.</w:t>
      </w:r>
    </w:p>
    <w:p w14:paraId="74B48EB1" w14:textId="77777777" w:rsidR="00B40389" w:rsidRPr="00B40389" w:rsidRDefault="00B40389" w:rsidP="00B40389">
      <w:pPr>
        <w:numPr>
          <w:ilvl w:val="0"/>
          <w:numId w:val="51"/>
        </w:numPr>
        <w:rPr>
          <w:sz w:val="20"/>
          <w:szCs w:val="20"/>
        </w:rPr>
      </w:pPr>
      <w:r w:rsidRPr="00B40389">
        <w:rPr>
          <w:b/>
          <w:bCs/>
          <w:sz w:val="20"/>
          <w:szCs w:val="20"/>
        </w:rPr>
        <w:t>Scale of change achieved</w:t>
      </w:r>
      <w:r w:rsidRPr="00B40389">
        <w:rPr>
          <w:b/>
          <w:bCs/>
          <w:sz w:val="20"/>
          <w:szCs w:val="20"/>
        </w:rPr>
        <w:br/>
      </w:r>
      <w:r w:rsidRPr="00B40389">
        <w:rPr>
          <w:sz w:val="20"/>
          <w:szCs w:val="20"/>
        </w:rPr>
        <w:t xml:space="preserve"> Evidence: Source 9 documents 80+ global brands committed and verifiable toxic chemical reductions across major supply chain segments; Source 8 (ChemSec) provides independent confirmation of measurable Detox results as of 2018; Sources 10 and 11 document ZDHC as an enduring global industry mechanism established by the campaign, while also documenting residual gaps (incomplete compliance) and the absence of regulatory change; the geographic scope is global — brands across Europe, the US, and Asia.</w:t>
      </w:r>
      <w:r w:rsidRPr="00B40389">
        <w:rPr>
          <w:sz w:val="20"/>
          <w:szCs w:val="20"/>
        </w:rPr>
        <w:br/>
        <w:t xml:space="preserve"> Confidence: High — scale of commitment and the ZDHC mechanism's establishment are directly and independently evidenced; the incomplete/residual dimension is also directly evidenced.</w:t>
      </w:r>
      <w:r w:rsidRPr="00B40389">
        <w:rPr>
          <w:sz w:val="20"/>
          <w:szCs w:val="20"/>
        </w:rPr>
        <w:br/>
        <w:t xml:space="preserve"> Source Tag: #8, #9, #10, #11.</w:t>
      </w:r>
    </w:p>
    <w:p w14:paraId="4DD319CE" w14:textId="77777777" w:rsidR="00B40389" w:rsidRPr="00B40389" w:rsidRDefault="00B40389" w:rsidP="00B40389">
      <w:pPr>
        <w:numPr>
          <w:ilvl w:val="0"/>
          <w:numId w:val="51"/>
        </w:numPr>
        <w:rPr>
          <w:sz w:val="20"/>
          <w:szCs w:val="20"/>
        </w:rPr>
      </w:pPr>
      <w:r w:rsidRPr="00B40389">
        <w:rPr>
          <w:b/>
          <w:bCs/>
          <w:sz w:val="20"/>
          <w:szCs w:val="20"/>
        </w:rPr>
        <w:t>Public sentiment starting point</w:t>
      </w:r>
      <w:r w:rsidRPr="00B40389">
        <w:rPr>
          <w:b/>
          <w:bCs/>
          <w:sz w:val="20"/>
          <w:szCs w:val="20"/>
        </w:rPr>
        <w:br/>
      </w:r>
      <w:r w:rsidRPr="00B40389">
        <w:rPr>
          <w:sz w:val="20"/>
          <w:szCs w:val="20"/>
        </w:rPr>
        <w:t xml:space="preserve"> Evidence: Source 4 (MobLab) directly documents the campaign team's explicit statement that the issue of toxic chemicals in clothing was off the political agenda before 2011 and that a core campaign objective was moving it "higher up the political agenda" — this is a direct primary statement from campaign actors about the pre-campaign starting point. Source 1 (Dirty Laundry) was structured as a revelation document, architecturally consistent with a starting point of low public awareness. Source 2 (Grappi et al., 2017) documents in-window consumer response to the campaign — used for context only, not as a pre-campaign baseline measure. No dedicated pre-2011 polling on public attitudes toward toxic chemicals in clothing was identified despite a targeted search.</w:t>
      </w:r>
      <w:r w:rsidRPr="00B40389">
        <w:rPr>
          <w:sz w:val="20"/>
          <w:szCs w:val="20"/>
        </w:rPr>
        <w:br/>
        <w:t xml:space="preserve"> Confidence: Medium — the direction of pre-campaign sentiment (low awareness, low salience, issue absent from public discourse) is directly supported by Source 4's primary statement and Source 1's design logic; the absence of polling prevents a High confidence rating or any quantification of the starting point.</w:t>
      </w:r>
      <w:r w:rsidRPr="00B40389">
        <w:rPr>
          <w:sz w:val="20"/>
          <w:szCs w:val="20"/>
        </w:rPr>
        <w:br/>
        <w:t xml:space="preserve"> Source Tag: #1, #4.</w:t>
      </w:r>
    </w:p>
    <w:p w14:paraId="3691D744" w14:textId="77777777" w:rsidR="00B40389" w:rsidRPr="00B40389" w:rsidRDefault="00B40389" w:rsidP="00B40389">
      <w:pPr>
        <w:numPr>
          <w:ilvl w:val="0"/>
          <w:numId w:val="51"/>
        </w:numPr>
        <w:rPr>
          <w:sz w:val="20"/>
          <w:szCs w:val="20"/>
        </w:rPr>
      </w:pPr>
      <w:r w:rsidRPr="00B40389">
        <w:rPr>
          <w:b/>
          <w:bCs/>
          <w:sz w:val="20"/>
          <w:szCs w:val="20"/>
        </w:rPr>
        <w:t>Legal/regulatory landscape</w:t>
      </w:r>
      <w:r w:rsidRPr="00B40389">
        <w:rPr>
          <w:b/>
          <w:bCs/>
          <w:sz w:val="20"/>
          <w:szCs w:val="20"/>
        </w:rPr>
        <w:br/>
      </w:r>
      <w:r w:rsidRPr="00B40389">
        <w:rPr>
          <w:sz w:val="20"/>
          <w:szCs w:val="20"/>
        </w:rPr>
        <w:t xml:space="preserve"> Evidence: Source 1 documents the regulatory gap as a core finding — brands manufacturing in countries (China) outside European regulatory reach, and no international framework governing brand supply chain chemical use; Source 9 documents ZDHC as a private-sector substitute for absent regulation; Sources 10 and 11 document the campaign's explicit conclusion at window close that new regulation is required — confirming the legal/regulatory landscape remained unchanged throughout the campaign window despite the market-level wins.</w:t>
      </w:r>
      <w:r w:rsidRPr="00B40389">
        <w:rPr>
          <w:sz w:val="20"/>
          <w:szCs w:val="20"/>
        </w:rPr>
        <w:br/>
        <w:t xml:space="preserve"> Confidence: High — the absence of relevant regulatory framework pre-campaign and its persistence at window close are both directly and explicitly evidenced; the campaign's entire strategic logic (market pressure as the primary lever) reflects this landscape.</w:t>
      </w:r>
      <w:r w:rsidRPr="00B40389">
        <w:rPr>
          <w:sz w:val="20"/>
          <w:szCs w:val="20"/>
        </w:rPr>
        <w:br/>
        <w:t xml:space="preserve"> Source Tag: #1, #9, #10, #11.</w:t>
      </w:r>
    </w:p>
    <w:p w14:paraId="13FC26F8" w14:textId="77777777" w:rsidR="00B40389" w:rsidRPr="00B40389" w:rsidRDefault="00B40389" w:rsidP="00B40389">
      <w:pPr>
        <w:numPr>
          <w:ilvl w:val="0"/>
          <w:numId w:val="51"/>
        </w:numPr>
        <w:rPr>
          <w:sz w:val="20"/>
          <w:szCs w:val="20"/>
        </w:rPr>
      </w:pPr>
      <w:r w:rsidRPr="00B40389">
        <w:rPr>
          <w:b/>
          <w:bCs/>
          <w:sz w:val="20"/>
          <w:szCs w:val="20"/>
        </w:rPr>
        <w:lastRenderedPageBreak/>
        <w:t>Narrative dominance</w:t>
      </w:r>
      <w:r w:rsidRPr="00B40389">
        <w:rPr>
          <w:b/>
          <w:bCs/>
          <w:sz w:val="20"/>
          <w:szCs w:val="20"/>
        </w:rPr>
        <w:br/>
      </w:r>
      <w:r w:rsidRPr="00B40389">
        <w:rPr>
          <w:sz w:val="20"/>
          <w:szCs w:val="20"/>
        </w:rPr>
        <w:t xml:space="preserve"> Evidence: Source 1 documents the "toxic fashion" framing as a deliberate introduction into public discourse — the issue was absent from mainstream fashion narrative before 2011; Sources 7 and 8 document the establishment of supply chain transparency and toxic-free fashion as accepted sustainability frames by mid-campaign; Source 3 (Ortega-Egea &amp; García-de-Frutos, 2019) situates the campaign within academic sustainability literature, confirming narrative insertion into expert discourse; Source 10 explicitly critiques the "self-regulation" counter-narrative as the industry's dominant response frame by window close — indicating that while the campaign's framing was established, the regulatory narrative remained contested.</w:t>
      </w:r>
      <w:r w:rsidRPr="00B40389">
        <w:rPr>
          <w:sz w:val="20"/>
          <w:szCs w:val="20"/>
        </w:rPr>
        <w:br/>
        <w:t xml:space="preserve"> Confidence: High — pre-campaign narrative absence, mid-campaign framing establishment, and the emergence of a co-optation/self-regulation counter-narrative at window close are all directly evidenced.</w:t>
      </w:r>
      <w:r w:rsidRPr="00B40389">
        <w:rPr>
          <w:sz w:val="20"/>
          <w:szCs w:val="20"/>
        </w:rPr>
        <w:br/>
        <w:t xml:space="preserve"> Source Tag: #1, #3, #7, #8, #10.</w:t>
      </w:r>
    </w:p>
    <w:p w14:paraId="4B6FB4B6" w14:textId="77777777" w:rsidR="00B40389" w:rsidRPr="00B40389" w:rsidRDefault="00B40389" w:rsidP="00B40389">
      <w:pPr>
        <w:numPr>
          <w:ilvl w:val="0"/>
          <w:numId w:val="51"/>
        </w:numPr>
        <w:rPr>
          <w:sz w:val="20"/>
          <w:szCs w:val="20"/>
        </w:rPr>
      </w:pPr>
      <w:r w:rsidRPr="00B40389">
        <w:rPr>
          <w:b/>
          <w:bCs/>
          <w:sz w:val="20"/>
          <w:szCs w:val="20"/>
        </w:rPr>
        <w:t>Notable Tactics</w:t>
      </w:r>
    </w:p>
    <w:p w14:paraId="177481F0" w14:textId="77777777" w:rsidR="00B40389" w:rsidRPr="00B40389" w:rsidRDefault="00B40389" w:rsidP="00B40389">
      <w:pPr>
        <w:rPr>
          <w:sz w:val="20"/>
          <w:szCs w:val="20"/>
        </w:rPr>
      </w:pPr>
      <w:r w:rsidRPr="00B40389">
        <w:rPr>
          <w:sz w:val="20"/>
          <w:szCs w:val="20"/>
        </w:rPr>
        <w:t>a. Revelation document naming individual brands with independent laboratory evidence.</w:t>
      </w:r>
      <w:r w:rsidRPr="00B40389">
        <w:rPr>
          <w:sz w:val="20"/>
          <w:szCs w:val="20"/>
        </w:rPr>
        <w:br/>
        <w:t xml:space="preserve"> Evidence: Source 1 (Dirty Laundry) is the primary artifact — its design combined independent laboratory testing of waterway samples with direct brand attribution, making denial impossible. Source 5 documents the H&amp;M commitment as directly triggered by this brand-naming pressure.</w:t>
      </w:r>
      <w:r w:rsidRPr="00B40389">
        <w:rPr>
          <w:sz w:val="20"/>
          <w:szCs w:val="20"/>
        </w:rPr>
        <w:br/>
        <w:t xml:space="preserve"> Confidence: High. Source Tag: #1, #5.</w:t>
      </w:r>
    </w:p>
    <w:p w14:paraId="6BA9832A" w14:textId="77777777" w:rsidR="00B40389" w:rsidRPr="00B40389" w:rsidRDefault="00B40389" w:rsidP="00B40389">
      <w:pPr>
        <w:rPr>
          <w:sz w:val="20"/>
          <w:szCs w:val="20"/>
        </w:rPr>
      </w:pPr>
      <w:r w:rsidRPr="00B40389">
        <w:rPr>
          <w:sz w:val="20"/>
          <w:szCs w:val="20"/>
        </w:rPr>
        <w:t>b. Sequential brand commitment cascade.</w:t>
      </w:r>
      <w:r w:rsidRPr="00B40389">
        <w:rPr>
          <w:sz w:val="20"/>
          <w:szCs w:val="20"/>
        </w:rPr>
        <w:br/>
        <w:t xml:space="preserve"> Evidence: Sources 5 and 6 document the sequencing — H&amp;M as an early mover, then Zara/Inditex in November 2012 — and Source 9 documents the cascade to 80+ brands by 2018. Each commitment was used as leverage on remaining holdouts.</w:t>
      </w:r>
      <w:r w:rsidRPr="00B40389">
        <w:rPr>
          <w:sz w:val="20"/>
          <w:szCs w:val="20"/>
        </w:rPr>
        <w:br/>
        <w:t xml:space="preserve"> Confidence: High. Source Tag: #5, #6, #9.</w:t>
      </w:r>
    </w:p>
    <w:p w14:paraId="6119DE30" w14:textId="77777777" w:rsidR="00B40389" w:rsidRPr="00B40389" w:rsidRDefault="00B40389" w:rsidP="00B40389">
      <w:pPr>
        <w:rPr>
          <w:sz w:val="20"/>
          <w:szCs w:val="20"/>
        </w:rPr>
      </w:pPr>
      <w:r w:rsidRPr="00B40389">
        <w:rPr>
          <w:sz w:val="20"/>
          <w:szCs w:val="20"/>
        </w:rPr>
        <w:t>c. Consumer mobilisation as brand-pressure lever (not consumer behaviour change driver).</w:t>
      </w:r>
      <w:r w:rsidRPr="00B40389">
        <w:rPr>
          <w:sz w:val="20"/>
          <w:szCs w:val="20"/>
        </w:rPr>
        <w:br/>
        <w:t xml:space="preserve"> Evidence: Source 4 directly documents this as a deliberate strategic choice — consumers were mobilised to signal reputational risk to brands, not primarily to change their own purchasing behaviour. Source 2 (Grappi et al.) provides empirical evidence of consumer-level brand evaluation responses to the campaign, confirming the mechanism worked as designed.</w:t>
      </w:r>
      <w:r w:rsidRPr="00B40389">
        <w:rPr>
          <w:sz w:val="20"/>
          <w:szCs w:val="20"/>
        </w:rPr>
        <w:br/>
        <w:t xml:space="preserve"> Confidence: High. Source Tag: #2, #4.</w:t>
      </w:r>
    </w:p>
    <w:p w14:paraId="386DC210" w14:textId="77777777" w:rsidR="00B40389" w:rsidRPr="00B40389" w:rsidRDefault="00B40389" w:rsidP="00B40389">
      <w:pPr>
        <w:rPr>
          <w:sz w:val="20"/>
          <w:szCs w:val="20"/>
        </w:rPr>
      </w:pPr>
      <w:r w:rsidRPr="00B40389">
        <w:rPr>
          <w:sz w:val="20"/>
          <w:szCs w:val="20"/>
        </w:rPr>
        <w:t>d. ZDHC roadmap — standardised commitment with built-in timeline and third-party monitoring.</w:t>
      </w:r>
      <w:r w:rsidRPr="00B40389">
        <w:rPr>
          <w:sz w:val="20"/>
          <w:szCs w:val="20"/>
        </w:rPr>
        <w:br/>
        <w:t xml:space="preserve"> Evidence: Source 9 documents ZDHC formation, its roadmap structure, and member commitments; Source 8 (ChemSec) independently assesses ZDHC compliance against the roadmap, confirming the monitoring mechanism was real rather than cosmetic.</w:t>
      </w:r>
      <w:r w:rsidRPr="00B40389">
        <w:rPr>
          <w:sz w:val="20"/>
          <w:szCs w:val="20"/>
        </w:rPr>
        <w:br/>
        <w:t xml:space="preserve"> Confidence: High. Source Tag: #8, #9.</w:t>
      </w:r>
    </w:p>
    <w:p w14:paraId="65BAA57E" w14:textId="77777777" w:rsidR="00B40389" w:rsidRPr="00B40389" w:rsidRDefault="00B40389" w:rsidP="00B40389">
      <w:pPr>
        <w:rPr>
          <w:sz w:val="20"/>
          <w:szCs w:val="20"/>
        </w:rPr>
      </w:pPr>
      <w:r w:rsidRPr="00B40389">
        <w:rPr>
          <w:sz w:val="20"/>
          <w:szCs w:val="20"/>
        </w:rPr>
        <w:t>e. Independent scientific evidence base as the foundation for brand attribution.</w:t>
      </w:r>
      <w:r w:rsidRPr="00B40389">
        <w:rPr>
          <w:sz w:val="20"/>
          <w:szCs w:val="20"/>
        </w:rPr>
        <w:br/>
        <w:t xml:space="preserve"> Evidence: Source 1 directly documents the independent laboratory testing methodology — river and wastewater samples from facilities supplying named brands, rather than brand self-reporting — making the evidentiary claims unchallengeable by industry.</w:t>
      </w:r>
      <w:r w:rsidRPr="00B40389">
        <w:rPr>
          <w:sz w:val="20"/>
          <w:szCs w:val="20"/>
        </w:rPr>
        <w:br/>
        <w:t xml:space="preserve"> Confidence: High. Source Tag: #1.</w:t>
      </w:r>
    </w:p>
    <w:p w14:paraId="446BD021" w14:textId="77777777" w:rsidR="00B40389" w:rsidRPr="00B40389" w:rsidRDefault="00641196" w:rsidP="00B40389">
      <w:pPr>
        <w:rPr>
          <w:sz w:val="20"/>
          <w:szCs w:val="20"/>
        </w:rPr>
      </w:pPr>
      <w:r>
        <w:rPr>
          <w:sz w:val="20"/>
          <w:szCs w:val="20"/>
        </w:rPr>
        <w:pict w14:anchorId="0FE91091">
          <v:rect id="_x0000_i1058" style="width:0;height:1.5pt" o:hralign="center" o:hrstd="t" o:hr="t" fillcolor="#a0a0a0" stroked="f"/>
        </w:pict>
      </w:r>
    </w:p>
    <w:p w14:paraId="771C5767" w14:textId="77777777" w:rsidR="00B40389" w:rsidRPr="00B40389" w:rsidRDefault="00B40389" w:rsidP="00B40389">
      <w:pPr>
        <w:rPr>
          <w:sz w:val="20"/>
          <w:szCs w:val="20"/>
        </w:rPr>
      </w:pPr>
      <w:r w:rsidRPr="00B40389">
        <w:rPr>
          <w:b/>
          <w:bCs/>
          <w:sz w:val="20"/>
          <w:szCs w:val="20"/>
        </w:rPr>
        <w:t>SOURCE-TO-VARIABLE MAPPING</w:t>
      </w:r>
    </w:p>
    <w:p w14:paraId="15520D52" w14:textId="77777777" w:rsidR="00B40389" w:rsidRPr="00B40389" w:rsidRDefault="00B40389" w:rsidP="00B40389">
      <w:pPr>
        <w:rPr>
          <w:sz w:val="20"/>
          <w:szCs w:val="20"/>
        </w:rPr>
      </w:pPr>
      <w:r w:rsidRPr="00B40389">
        <w:rPr>
          <w:sz w:val="20"/>
          <w:szCs w:val="20"/>
        </w:rPr>
        <w:t xml:space="preserve">Source 1 — Greenpeace, </w:t>
      </w:r>
      <w:r w:rsidRPr="00B40389">
        <w:rPr>
          <w:i/>
          <w:iCs/>
          <w:sz w:val="20"/>
          <w:szCs w:val="20"/>
        </w:rPr>
        <w:t>Dirty Laundry</w:t>
      </w:r>
      <w:r w:rsidRPr="00B40389">
        <w:rPr>
          <w:sz w:val="20"/>
          <w:szCs w:val="20"/>
        </w:rPr>
        <w:t>, 2011 — Variables 1, 5, 6 (context), 7 (context), 13, 14, 15a, 15e</w:t>
      </w:r>
    </w:p>
    <w:p w14:paraId="07D5C2DB" w14:textId="77777777" w:rsidR="00B40389" w:rsidRPr="00B40389" w:rsidRDefault="00B40389" w:rsidP="00B40389">
      <w:pPr>
        <w:rPr>
          <w:sz w:val="20"/>
          <w:szCs w:val="20"/>
        </w:rPr>
      </w:pPr>
      <w:r w:rsidRPr="00B40389">
        <w:rPr>
          <w:sz w:val="20"/>
          <w:szCs w:val="20"/>
        </w:rPr>
        <w:t xml:space="preserve">Source 2 — Grappi, Romani &amp; Barbarossa, </w:t>
      </w:r>
      <w:r w:rsidRPr="00B40389">
        <w:rPr>
          <w:i/>
          <w:iCs/>
          <w:sz w:val="20"/>
          <w:szCs w:val="20"/>
        </w:rPr>
        <w:t>Journal of Cleaner Production</w:t>
      </w:r>
      <w:r w:rsidRPr="00B40389">
        <w:rPr>
          <w:sz w:val="20"/>
          <w:szCs w:val="20"/>
        </w:rPr>
        <w:t>, 2017 — Variables 5, 7, 8 (context), 15c</w:t>
      </w:r>
    </w:p>
    <w:p w14:paraId="2EA10AA6" w14:textId="77777777" w:rsidR="00B40389" w:rsidRPr="00B40389" w:rsidRDefault="00B40389" w:rsidP="00B40389">
      <w:pPr>
        <w:rPr>
          <w:sz w:val="20"/>
          <w:szCs w:val="20"/>
        </w:rPr>
      </w:pPr>
      <w:r w:rsidRPr="00B40389">
        <w:rPr>
          <w:sz w:val="20"/>
          <w:szCs w:val="20"/>
        </w:rPr>
        <w:t>Source 3 — Ortega-Egea &amp; García-de-Frutos, Springer, 2019 — Variable 14</w:t>
      </w:r>
    </w:p>
    <w:p w14:paraId="732259E5" w14:textId="77777777" w:rsidR="00B40389" w:rsidRPr="00B40389" w:rsidRDefault="00B40389" w:rsidP="00B40389">
      <w:pPr>
        <w:rPr>
          <w:sz w:val="20"/>
          <w:szCs w:val="20"/>
        </w:rPr>
      </w:pPr>
      <w:r w:rsidRPr="00B40389">
        <w:rPr>
          <w:sz w:val="20"/>
          <w:szCs w:val="20"/>
        </w:rPr>
        <w:t>Source 4 — MobLab, "Fashion victims speak up," 2014 — Variables 5, 6, 7, 8, 12, 15c</w:t>
      </w:r>
    </w:p>
    <w:p w14:paraId="07DF8CFF" w14:textId="77777777" w:rsidR="00B40389" w:rsidRPr="00B40389" w:rsidRDefault="00B40389" w:rsidP="00B40389">
      <w:pPr>
        <w:rPr>
          <w:sz w:val="20"/>
          <w:szCs w:val="20"/>
        </w:rPr>
      </w:pPr>
      <w:r w:rsidRPr="00B40389">
        <w:rPr>
          <w:sz w:val="20"/>
          <w:szCs w:val="20"/>
        </w:rPr>
        <w:t>Source 5 — GNVAD/Swarthmore, "Greenpeace forces H&amp;M," 2013 — Variables 1, 2, 10, 15a, 15b</w:t>
      </w:r>
    </w:p>
    <w:p w14:paraId="2630CE35" w14:textId="77777777" w:rsidR="00B40389" w:rsidRPr="00B40389" w:rsidRDefault="00B40389" w:rsidP="00B40389">
      <w:pPr>
        <w:rPr>
          <w:sz w:val="20"/>
          <w:szCs w:val="20"/>
        </w:rPr>
      </w:pPr>
      <w:r w:rsidRPr="00B40389">
        <w:rPr>
          <w:sz w:val="20"/>
          <w:szCs w:val="20"/>
        </w:rPr>
        <w:t>Source 6 — Greenpeace, "Zara commits," 2012 — Variables 1, 2, 7, 10, 15b</w:t>
      </w:r>
    </w:p>
    <w:p w14:paraId="39638A3E" w14:textId="77777777" w:rsidR="00B40389" w:rsidRPr="00B40389" w:rsidRDefault="00B40389" w:rsidP="00B40389">
      <w:pPr>
        <w:rPr>
          <w:sz w:val="20"/>
          <w:szCs w:val="20"/>
        </w:rPr>
      </w:pPr>
      <w:r w:rsidRPr="00B40389">
        <w:rPr>
          <w:sz w:val="20"/>
          <w:szCs w:val="20"/>
        </w:rPr>
        <w:lastRenderedPageBreak/>
        <w:t>Source 7 — Sourcing Journal, "How Greenpeace 'Detoxed' the Fashion Supply Chain," 2018 — Variables 3, 4, 14</w:t>
      </w:r>
    </w:p>
    <w:p w14:paraId="3ABB2ED6" w14:textId="77777777" w:rsidR="00B40389" w:rsidRPr="00B40389" w:rsidRDefault="00B40389" w:rsidP="00B40389">
      <w:pPr>
        <w:rPr>
          <w:sz w:val="20"/>
          <w:szCs w:val="20"/>
        </w:rPr>
      </w:pPr>
      <w:r w:rsidRPr="00B40389">
        <w:rPr>
          <w:sz w:val="20"/>
          <w:szCs w:val="20"/>
        </w:rPr>
        <w:t>Source 8 — ChemSec, "Detox Campaign is showing results," 2018 — Variables 4, 6, 8, 9, 11, 14, 15d</w:t>
      </w:r>
    </w:p>
    <w:p w14:paraId="3A009811" w14:textId="77777777" w:rsidR="00B40389" w:rsidRPr="00B40389" w:rsidRDefault="00B40389" w:rsidP="00B40389">
      <w:pPr>
        <w:rPr>
          <w:sz w:val="20"/>
          <w:szCs w:val="20"/>
        </w:rPr>
      </w:pPr>
      <w:r w:rsidRPr="00B40389">
        <w:rPr>
          <w:sz w:val="20"/>
          <w:szCs w:val="20"/>
        </w:rPr>
        <w:t xml:space="preserve">Source 9 — Greenpeace, </w:t>
      </w:r>
      <w:r w:rsidRPr="00B40389">
        <w:rPr>
          <w:i/>
          <w:iCs/>
          <w:sz w:val="20"/>
          <w:szCs w:val="20"/>
        </w:rPr>
        <w:t>Destination Zero</w:t>
      </w:r>
      <w:r w:rsidRPr="00B40389">
        <w:rPr>
          <w:sz w:val="20"/>
          <w:szCs w:val="20"/>
        </w:rPr>
        <w:t>, 2018 — Variables 2, 6, 7, 8, 9, 10, 11, 13, 15b, 15d</w:t>
      </w:r>
    </w:p>
    <w:p w14:paraId="43D6933A" w14:textId="77777777" w:rsidR="00B40389" w:rsidRPr="00B40389" w:rsidRDefault="00B40389" w:rsidP="00B40389">
      <w:pPr>
        <w:rPr>
          <w:sz w:val="20"/>
          <w:szCs w:val="20"/>
        </w:rPr>
      </w:pPr>
      <w:r w:rsidRPr="00B40389">
        <w:rPr>
          <w:sz w:val="20"/>
          <w:szCs w:val="20"/>
        </w:rPr>
        <w:t xml:space="preserve">Source 10 — Greenpeace, </w:t>
      </w:r>
      <w:r w:rsidRPr="00B40389">
        <w:rPr>
          <w:i/>
          <w:iCs/>
          <w:sz w:val="20"/>
          <w:szCs w:val="20"/>
        </w:rPr>
        <w:t>Self-regulation: A fashion supply chain fairytale</w:t>
      </w:r>
      <w:r w:rsidRPr="00B40389">
        <w:rPr>
          <w:sz w:val="20"/>
          <w:szCs w:val="20"/>
        </w:rPr>
        <w:t>, 2021 — Variables 1, 3, 4, 6, 7, 9, 10, 11, 13, 14</w:t>
      </w:r>
    </w:p>
    <w:p w14:paraId="19DAE3C0" w14:textId="77777777" w:rsidR="00B40389" w:rsidRPr="00B40389" w:rsidRDefault="00B40389" w:rsidP="00B40389">
      <w:pPr>
        <w:rPr>
          <w:sz w:val="20"/>
          <w:szCs w:val="20"/>
        </w:rPr>
      </w:pPr>
      <w:r w:rsidRPr="00B40389">
        <w:rPr>
          <w:sz w:val="20"/>
          <w:szCs w:val="20"/>
        </w:rPr>
        <w:t>Source 11 — Greenpeace, press release, 23 November 2021 — Variables 1, 2, 7, 11, 13</w:t>
      </w:r>
    </w:p>
    <w:p w14:paraId="7D6001C1" w14:textId="77777777" w:rsidR="00B40389" w:rsidRPr="00B40389" w:rsidRDefault="00641196" w:rsidP="00B40389">
      <w:pPr>
        <w:rPr>
          <w:sz w:val="20"/>
          <w:szCs w:val="20"/>
        </w:rPr>
      </w:pPr>
      <w:r>
        <w:rPr>
          <w:sz w:val="20"/>
          <w:szCs w:val="20"/>
        </w:rPr>
        <w:pict w14:anchorId="7B2D3F1F">
          <v:rect id="_x0000_i1059" style="width:0;height:1.5pt" o:hralign="center" o:hrstd="t" o:hr="t" fillcolor="#a0a0a0" stroked="f"/>
        </w:pict>
      </w:r>
    </w:p>
    <w:p w14:paraId="6730547A" w14:textId="77777777" w:rsidR="00B40389" w:rsidRPr="00B40389" w:rsidRDefault="00B40389" w:rsidP="00B40389">
      <w:pPr>
        <w:rPr>
          <w:sz w:val="20"/>
          <w:szCs w:val="20"/>
        </w:rPr>
      </w:pPr>
      <w:r w:rsidRPr="00B40389">
        <w:rPr>
          <w:b/>
          <w:bCs/>
          <w:sz w:val="20"/>
          <w:szCs w:val="20"/>
        </w:rPr>
        <w:t>OBSERVATION</w:t>
      </w:r>
    </w:p>
    <w:p w14:paraId="4425C6D4" w14:textId="77777777" w:rsidR="00B40389" w:rsidRPr="00B40389" w:rsidRDefault="00B40389" w:rsidP="00B40389">
      <w:pPr>
        <w:rPr>
          <w:sz w:val="20"/>
          <w:szCs w:val="20"/>
        </w:rPr>
      </w:pPr>
      <w:r w:rsidRPr="00B40389">
        <w:rPr>
          <w:sz w:val="20"/>
          <w:szCs w:val="20"/>
        </w:rPr>
        <w:t>Evidence is moderately distributed, with Sources 1, 9, and 10 functioning as the heaviest contributors — each anchoring between seven and ten variables — reflecting their roles as the campaign launch document, the seven-year midpoint assessment, and the ten-year closing report respectively. Sources 2 and 4 contribute distinctly to the consumer-level and strategy dimensions not captured by Greenpeace's own documents, providing useful external perspective. Source 3 (Ortega-Egea &amp; García-de-Frutos) contributes to Variable 14 only; its inclusion is justified by the academic positioning function it serves rather than its evidential weight across variables.</w:t>
      </w:r>
    </w:p>
    <w:p w14:paraId="78498C2D" w14:textId="77777777" w:rsidR="00B40389" w:rsidRPr="00B40389" w:rsidRDefault="00641196" w:rsidP="00B40389">
      <w:pPr>
        <w:rPr>
          <w:sz w:val="20"/>
          <w:szCs w:val="20"/>
        </w:rPr>
      </w:pPr>
      <w:r>
        <w:rPr>
          <w:sz w:val="20"/>
          <w:szCs w:val="20"/>
        </w:rPr>
        <w:pict w14:anchorId="11DB8E29">
          <v:rect id="_x0000_i1060" style="width:0;height:1.5pt" o:hralign="center" o:hrstd="t" o:hr="t" fillcolor="#a0a0a0" stroked="f"/>
        </w:pict>
      </w:r>
    </w:p>
    <w:p w14:paraId="3893A065" w14:textId="77777777" w:rsidR="00B40389" w:rsidRPr="00B40389" w:rsidRDefault="00B40389" w:rsidP="00B40389">
      <w:pPr>
        <w:rPr>
          <w:sz w:val="20"/>
          <w:szCs w:val="20"/>
        </w:rPr>
      </w:pPr>
      <w:r w:rsidRPr="00B40389">
        <w:rPr>
          <w:b/>
          <w:bCs/>
          <w:sz w:val="20"/>
          <w:szCs w:val="20"/>
        </w:rPr>
        <w:t>CASE-LEVEL SUMMARY</w:t>
      </w:r>
    </w:p>
    <w:p w14:paraId="127D1AE3" w14:textId="77777777" w:rsidR="00B40389" w:rsidRPr="00B40389" w:rsidRDefault="00B40389" w:rsidP="00B40389">
      <w:pPr>
        <w:rPr>
          <w:sz w:val="20"/>
          <w:szCs w:val="20"/>
        </w:rPr>
      </w:pPr>
      <w:r w:rsidRPr="00B40389">
        <w:rPr>
          <w:sz w:val="20"/>
          <w:szCs w:val="20"/>
        </w:rPr>
        <w:t>Low confidence / insufficient evidence: None. All 14 variables and Notable Tactics are codeable from the locked source set at Medium or High confidence.</w:t>
      </w:r>
    </w:p>
    <w:p w14:paraId="647D21EC" w14:textId="77777777" w:rsidR="00B40389" w:rsidRPr="00B40389" w:rsidRDefault="00B40389" w:rsidP="00B40389">
      <w:pPr>
        <w:rPr>
          <w:sz w:val="20"/>
          <w:szCs w:val="20"/>
        </w:rPr>
      </w:pPr>
      <w:r w:rsidRPr="00B40389">
        <w:rPr>
          <w:sz w:val="20"/>
          <w:szCs w:val="20"/>
        </w:rPr>
        <w:t>Medium confidence:</w:t>
      </w:r>
    </w:p>
    <w:p w14:paraId="2F8B4210" w14:textId="77777777" w:rsidR="00B40389" w:rsidRPr="00B40389" w:rsidRDefault="00B40389" w:rsidP="00B40389">
      <w:pPr>
        <w:numPr>
          <w:ilvl w:val="0"/>
          <w:numId w:val="52"/>
        </w:numPr>
        <w:rPr>
          <w:sz w:val="20"/>
          <w:szCs w:val="20"/>
        </w:rPr>
      </w:pPr>
      <w:r w:rsidRPr="00B40389">
        <w:rPr>
          <w:sz w:val="20"/>
          <w:szCs w:val="20"/>
        </w:rPr>
        <w:t>Strength of opposition (Variable 3) — passive character of opposition well-supported, but no source directly characterises industry opposition resources or strategy from the opposition's own perspective.</w:t>
      </w:r>
    </w:p>
    <w:p w14:paraId="0C7225CD" w14:textId="77777777" w:rsidR="00B40389" w:rsidRPr="00B40389" w:rsidRDefault="00B40389" w:rsidP="00B40389">
      <w:pPr>
        <w:numPr>
          <w:ilvl w:val="0"/>
          <w:numId w:val="52"/>
        </w:numPr>
        <w:rPr>
          <w:sz w:val="20"/>
          <w:szCs w:val="20"/>
        </w:rPr>
      </w:pPr>
      <w:r w:rsidRPr="00B40389">
        <w:rPr>
          <w:sz w:val="20"/>
          <w:szCs w:val="20"/>
        </w:rPr>
        <w:t>Coalition size/type/non-obvious allies (Variable 8) — coalition structure and ChemSec's role evidenced; no comprehensive coalition mapping document in the locked set; absence of non-obvious allies is a genuine finding, not only a gap.</w:t>
      </w:r>
    </w:p>
    <w:p w14:paraId="1220CF9D" w14:textId="77777777" w:rsidR="00B40389" w:rsidRPr="00B40389" w:rsidRDefault="00B40389" w:rsidP="00B40389">
      <w:pPr>
        <w:numPr>
          <w:ilvl w:val="0"/>
          <w:numId w:val="52"/>
        </w:numPr>
        <w:rPr>
          <w:sz w:val="20"/>
          <w:szCs w:val="20"/>
        </w:rPr>
      </w:pPr>
      <w:r w:rsidRPr="00B40389">
        <w:rPr>
          <w:sz w:val="20"/>
          <w:szCs w:val="20"/>
        </w:rPr>
        <w:t>Economic disruption required (Variable 9) — moderate disruption consistently implied across sources; no locked source directly quantifies compliance costs.</w:t>
      </w:r>
    </w:p>
    <w:p w14:paraId="0FC97EF9" w14:textId="77777777" w:rsidR="00B40389" w:rsidRPr="00B40389" w:rsidRDefault="00B40389" w:rsidP="00B40389">
      <w:pPr>
        <w:numPr>
          <w:ilvl w:val="0"/>
          <w:numId w:val="52"/>
        </w:numPr>
        <w:rPr>
          <w:sz w:val="20"/>
          <w:szCs w:val="20"/>
        </w:rPr>
      </w:pPr>
      <w:r w:rsidRPr="00B40389">
        <w:rPr>
          <w:sz w:val="20"/>
          <w:szCs w:val="20"/>
        </w:rPr>
        <w:t>Public sentiment starting point (Variable 12) — direction (low awareness, issue absent pre-2011) directly supported by Source 4; absence of polling prevents quantification or a High confidence rating.</w:t>
      </w:r>
    </w:p>
    <w:p w14:paraId="4018CE21" w14:textId="77777777" w:rsidR="00B40389" w:rsidRPr="00B40389" w:rsidRDefault="00B40389" w:rsidP="00B40389">
      <w:pPr>
        <w:rPr>
          <w:sz w:val="20"/>
          <w:szCs w:val="20"/>
        </w:rPr>
      </w:pPr>
      <w:r w:rsidRPr="00B40389">
        <w:rPr>
          <w:sz w:val="20"/>
          <w:szCs w:val="20"/>
        </w:rPr>
        <w:t>Phase 1/4 exception use: None required. Legal/regulatory landscape and Narrative dominance were coded entirely from in-window locked sources without reaching outside the locked set.</w:t>
      </w:r>
    </w:p>
    <w:p w14:paraId="12A8A042" w14:textId="77777777" w:rsidR="00B40389" w:rsidRPr="00B40389" w:rsidRDefault="00641196" w:rsidP="00B40389">
      <w:pPr>
        <w:rPr>
          <w:sz w:val="20"/>
          <w:szCs w:val="20"/>
        </w:rPr>
      </w:pPr>
      <w:r>
        <w:rPr>
          <w:sz w:val="20"/>
          <w:szCs w:val="20"/>
        </w:rPr>
        <w:pict w14:anchorId="2EE98526">
          <v:rect id="_x0000_i1061" style="width:0;height:1.5pt" o:hralign="center" o:hrstd="t" o:hr="t" fillcolor="#a0a0a0" stroked="f"/>
        </w:pict>
      </w:r>
    </w:p>
    <w:p w14:paraId="6A18B667" w14:textId="77777777" w:rsidR="00B40389" w:rsidRPr="00B40389" w:rsidRDefault="00B40389" w:rsidP="00B40389">
      <w:pPr>
        <w:rPr>
          <w:sz w:val="20"/>
          <w:szCs w:val="20"/>
        </w:rPr>
      </w:pPr>
      <w:r w:rsidRPr="00B40389">
        <w:rPr>
          <w:b/>
          <w:bCs/>
          <w:sz w:val="20"/>
          <w:szCs w:val="20"/>
        </w:rPr>
        <w:t>OVERALL CASE CONFIDENCE/QUALITY FLAG</w:t>
      </w:r>
    </w:p>
    <w:p w14:paraId="511A709F" w14:textId="77777777" w:rsidR="00B40389" w:rsidRPr="00B40389" w:rsidRDefault="00B40389" w:rsidP="00B40389">
      <w:pPr>
        <w:rPr>
          <w:sz w:val="20"/>
          <w:szCs w:val="20"/>
        </w:rPr>
      </w:pPr>
      <w:r w:rsidRPr="00B40389">
        <w:rPr>
          <w:b/>
          <w:bCs/>
          <w:sz w:val="20"/>
          <w:szCs w:val="20"/>
        </w:rPr>
        <w:t>High.</w:t>
      </w:r>
      <w:r w:rsidRPr="00B40389">
        <w:rPr>
          <w:sz w:val="20"/>
          <w:szCs w:val="20"/>
        </w:rPr>
        <w:t xml:space="preserve"> Ten of fourteen substantive variables sit at High confidence, four at Medium, and no variables are coded Insufficient. Source diversity is strong across all four required categories: campaign primary documentation (Sources 1, 6, 9, 10, 11), independent academic peer-reviewed research (Sources 2, 3), independent technical expert body (Source 8), and independent database/trade press (Sources 5, 7). The campaign resolved cleanly within the window — ZDHC established, 80+ brands committed, Source 11 provides a defined closing statement — so no Mixed/Unresolved coding was required. The four Medium-confidence codings each reflect genuine evidential limitations (no opposition-side source, no coalition map, no cost quantification, no pre-campaign polling) rather than ambiguity about the underlying variable.</w:t>
      </w:r>
    </w:p>
    <w:p w14:paraId="7E5F707B" w14:textId="77777777" w:rsidR="00B40389" w:rsidRPr="00B40389" w:rsidRDefault="00641196" w:rsidP="00B40389">
      <w:pPr>
        <w:rPr>
          <w:sz w:val="20"/>
          <w:szCs w:val="20"/>
        </w:rPr>
      </w:pPr>
      <w:r>
        <w:rPr>
          <w:sz w:val="20"/>
          <w:szCs w:val="20"/>
        </w:rPr>
        <w:pict w14:anchorId="4FA5DCDE">
          <v:rect id="_x0000_i1062" style="width:0;height:1.5pt" o:hralign="center" o:hrstd="t" o:hr="t" fillcolor="#a0a0a0" stroked="f"/>
        </w:pict>
      </w:r>
    </w:p>
    <w:p w14:paraId="2E6B0E07" w14:textId="77777777" w:rsidR="00B40389" w:rsidRPr="00B40389" w:rsidRDefault="00B40389" w:rsidP="00B40389">
      <w:pPr>
        <w:rPr>
          <w:sz w:val="20"/>
          <w:szCs w:val="20"/>
        </w:rPr>
      </w:pPr>
      <w:r w:rsidRPr="00B40389">
        <w:rPr>
          <w:b/>
          <w:bCs/>
          <w:sz w:val="20"/>
          <w:szCs w:val="20"/>
        </w:rPr>
        <w:t>HINDSIGHT NOTES</w:t>
      </w:r>
    </w:p>
    <w:p w14:paraId="5C05F962" w14:textId="77777777" w:rsidR="00B40389" w:rsidRPr="00B40389" w:rsidRDefault="00B40389" w:rsidP="00B40389">
      <w:pPr>
        <w:rPr>
          <w:sz w:val="20"/>
          <w:szCs w:val="20"/>
        </w:rPr>
      </w:pPr>
      <w:r w:rsidRPr="00B40389">
        <w:rPr>
          <w:sz w:val="20"/>
          <w:szCs w:val="20"/>
        </w:rPr>
        <w:lastRenderedPageBreak/>
        <w:t>Hindsight note: Legal/regulatory landscape (Variable 13) — post-window regulatory developments (EU Green Deal, EU Strategy for Sustainable and Circular Textiles, 2022; proposed EU restrictions on per- and polyfluoroalkyl substances) directly address the regulatory gap the campaign identified; if the window extended to 2024, the legal/regulatory landscape coding would shift from "permissive but unhelpful" toward an emerging regulatory framework. Not used in coding above.</w:t>
      </w:r>
    </w:p>
    <w:p w14:paraId="6C3D1272" w14:textId="77777777" w:rsidR="00B40389" w:rsidRPr="00B40389" w:rsidRDefault="00B40389" w:rsidP="00B40389">
      <w:pPr>
        <w:rPr>
          <w:sz w:val="20"/>
          <w:szCs w:val="20"/>
        </w:rPr>
      </w:pPr>
      <w:r w:rsidRPr="00B40389">
        <w:rPr>
          <w:sz w:val="20"/>
          <w:szCs w:val="20"/>
        </w:rPr>
        <w:t>Hindsight note: Scale of change achieved (Variable 11) — ZDHC's post-2021 evolution and ongoing brand compliance audits (not in the locked set) would likely provide a more precise post-window assessment of how much of the committed supply chain transformation was actually verified. Source 10 documents the gap at window close; subsequent audits may have closed or widened it. Not used in coding above.</w:t>
      </w:r>
    </w:p>
    <w:p w14:paraId="7DF98430" w14:textId="77777777" w:rsidR="00B40389" w:rsidRPr="00B40389" w:rsidRDefault="00B40389" w:rsidP="00B40389">
      <w:pPr>
        <w:rPr>
          <w:sz w:val="20"/>
          <w:szCs w:val="20"/>
        </w:rPr>
      </w:pPr>
      <w:r w:rsidRPr="00B40389">
        <w:rPr>
          <w:sz w:val="20"/>
          <w:szCs w:val="20"/>
        </w:rPr>
        <w:t>Hindsight note: Narrative dominance (Variable 14) — the EU textiles strategy and growing fast-fashion legislative debate (post-2021) suggest the campaign's framing of toxic/unsustainable fashion achieved considerably greater regulatory narrative penetration after the window closed than was evident within it. Not used in coding above.</w:t>
      </w:r>
    </w:p>
    <w:p w14:paraId="6851317A" w14:textId="77777777" w:rsidR="00B40389" w:rsidRPr="00B40389" w:rsidRDefault="00B40389" w:rsidP="00B40389">
      <w:pPr>
        <w:rPr>
          <w:sz w:val="20"/>
          <w:szCs w:val="20"/>
        </w:rPr>
      </w:pPr>
      <w:r w:rsidRPr="00B40389">
        <w:rPr>
          <w:sz w:val="20"/>
          <w:szCs w:val="20"/>
        </w:rPr>
        <w:t>No hindsight notes applicable for Public sentiment starting point — the gap is structural (no pre-campaign baseline source exists in the locked set); it is not resolvable by later evidence.</w:t>
      </w:r>
    </w:p>
    <w:p w14:paraId="3B711D5A" w14:textId="77777777" w:rsidR="00A15643" w:rsidRPr="00B40389" w:rsidRDefault="00A15643">
      <w:pPr>
        <w:rPr>
          <w:sz w:val="20"/>
          <w:szCs w:val="20"/>
        </w:rPr>
      </w:pPr>
    </w:p>
    <w:sectPr w:rsidR="00A15643" w:rsidRPr="00B40389" w:rsidSect="00A1564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419F3"/>
    <w:multiLevelType w:val="multilevel"/>
    <w:tmpl w:val="736ED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27C8B"/>
    <w:multiLevelType w:val="multilevel"/>
    <w:tmpl w:val="78084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49401E"/>
    <w:multiLevelType w:val="multilevel"/>
    <w:tmpl w:val="2416D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B00F3A"/>
    <w:multiLevelType w:val="multilevel"/>
    <w:tmpl w:val="CE366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5A7932"/>
    <w:multiLevelType w:val="multilevel"/>
    <w:tmpl w:val="9D6A602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FF49BB"/>
    <w:multiLevelType w:val="multilevel"/>
    <w:tmpl w:val="85601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C93D39"/>
    <w:multiLevelType w:val="multilevel"/>
    <w:tmpl w:val="C92AC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D1483A"/>
    <w:multiLevelType w:val="multilevel"/>
    <w:tmpl w:val="1A62A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614381"/>
    <w:multiLevelType w:val="multilevel"/>
    <w:tmpl w:val="FF144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A546AA"/>
    <w:multiLevelType w:val="multilevel"/>
    <w:tmpl w:val="6706D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C21090"/>
    <w:multiLevelType w:val="multilevel"/>
    <w:tmpl w:val="1D84A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D234C0"/>
    <w:multiLevelType w:val="multilevel"/>
    <w:tmpl w:val="CDCA5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E0446D"/>
    <w:multiLevelType w:val="multilevel"/>
    <w:tmpl w:val="B4022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2806A1"/>
    <w:multiLevelType w:val="multilevel"/>
    <w:tmpl w:val="ED0EF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C13599"/>
    <w:multiLevelType w:val="multilevel"/>
    <w:tmpl w:val="BEF08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3F5BE8"/>
    <w:multiLevelType w:val="multilevel"/>
    <w:tmpl w:val="17B86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464C55"/>
    <w:multiLevelType w:val="multilevel"/>
    <w:tmpl w:val="294C9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E0772A6"/>
    <w:multiLevelType w:val="multilevel"/>
    <w:tmpl w:val="1C787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E00C53"/>
    <w:multiLevelType w:val="multilevel"/>
    <w:tmpl w:val="04FA6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C92619"/>
    <w:multiLevelType w:val="multilevel"/>
    <w:tmpl w:val="86B2E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7B37DEE"/>
    <w:multiLevelType w:val="multilevel"/>
    <w:tmpl w:val="D1BE1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A35E65"/>
    <w:multiLevelType w:val="multilevel"/>
    <w:tmpl w:val="35905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A951C85"/>
    <w:multiLevelType w:val="multilevel"/>
    <w:tmpl w:val="AD2CF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4E6EDB"/>
    <w:multiLevelType w:val="multilevel"/>
    <w:tmpl w:val="2000F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7A3719"/>
    <w:multiLevelType w:val="multilevel"/>
    <w:tmpl w:val="12082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4234AD"/>
    <w:multiLevelType w:val="multilevel"/>
    <w:tmpl w:val="2D241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C32667"/>
    <w:multiLevelType w:val="multilevel"/>
    <w:tmpl w:val="08C6D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53420DF"/>
    <w:multiLevelType w:val="multilevel"/>
    <w:tmpl w:val="787C9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155441"/>
    <w:multiLevelType w:val="multilevel"/>
    <w:tmpl w:val="0E02B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7E60283"/>
    <w:multiLevelType w:val="multilevel"/>
    <w:tmpl w:val="EF261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39442B"/>
    <w:multiLevelType w:val="multilevel"/>
    <w:tmpl w:val="B41E8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E97926"/>
    <w:multiLevelType w:val="multilevel"/>
    <w:tmpl w:val="059A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F44B85"/>
    <w:multiLevelType w:val="multilevel"/>
    <w:tmpl w:val="D3449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8A5A3C"/>
    <w:multiLevelType w:val="multilevel"/>
    <w:tmpl w:val="F6861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FF3714F"/>
    <w:multiLevelType w:val="multilevel"/>
    <w:tmpl w:val="88A0C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09D6ABB"/>
    <w:multiLevelType w:val="multilevel"/>
    <w:tmpl w:val="916A2FA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6053337"/>
    <w:multiLevelType w:val="multilevel"/>
    <w:tmpl w:val="2536E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1B204D"/>
    <w:multiLevelType w:val="multilevel"/>
    <w:tmpl w:val="ADFE9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5413E4"/>
    <w:multiLevelType w:val="multilevel"/>
    <w:tmpl w:val="96BE8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2F4C52"/>
    <w:multiLevelType w:val="multilevel"/>
    <w:tmpl w:val="65644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D658F9"/>
    <w:multiLevelType w:val="multilevel"/>
    <w:tmpl w:val="351CF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295148"/>
    <w:multiLevelType w:val="multilevel"/>
    <w:tmpl w:val="16DC3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08C1F5E"/>
    <w:multiLevelType w:val="multilevel"/>
    <w:tmpl w:val="0256F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0B0999"/>
    <w:multiLevelType w:val="multilevel"/>
    <w:tmpl w:val="D9EAA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B37C12"/>
    <w:multiLevelType w:val="multilevel"/>
    <w:tmpl w:val="36FE3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120146"/>
    <w:multiLevelType w:val="multilevel"/>
    <w:tmpl w:val="326A8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6953F0A"/>
    <w:multiLevelType w:val="multilevel"/>
    <w:tmpl w:val="61B8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9D738E"/>
    <w:multiLevelType w:val="multilevel"/>
    <w:tmpl w:val="B34C221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8235AD9"/>
    <w:multiLevelType w:val="multilevel"/>
    <w:tmpl w:val="1F161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293031"/>
    <w:multiLevelType w:val="multilevel"/>
    <w:tmpl w:val="F390A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8C32E22"/>
    <w:multiLevelType w:val="multilevel"/>
    <w:tmpl w:val="254E9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B8C048B"/>
    <w:multiLevelType w:val="multilevel"/>
    <w:tmpl w:val="E8409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D057B6B"/>
    <w:multiLevelType w:val="multilevel"/>
    <w:tmpl w:val="1D964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ECA4F45"/>
    <w:multiLevelType w:val="multilevel"/>
    <w:tmpl w:val="7F0A1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F8306AC"/>
    <w:multiLevelType w:val="multilevel"/>
    <w:tmpl w:val="262A6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33742085">
    <w:abstractNumId w:val="54"/>
  </w:num>
  <w:num w:numId="2" w16cid:durableId="846288675">
    <w:abstractNumId w:val="47"/>
    <w:lvlOverride w:ilvl="0">
      <w:lvl w:ilvl="0">
        <w:numFmt w:val="decimal"/>
        <w:lvlText w:val="%1."/>
        <w:lvlJc w:val="left"/>
      </w:lvl>
    </w:lvlOverride>
  </w:num>
  <w:num w:numId="3" w16cid:durableId="1044404656">
    <w:abstractNumId w:val="47"/>
    <w:lvlOverride w:ilvl="0">
      <w:lvl w:ilvl="0">
        <w:numFmt w:val="decimal"/>
        <w:lvlText w:val="%1."/>
        <w:lvlJc w:val="left"/>
      </w:lvl>
    </w:lvlOverride>
  </w:num>
  <w:num w:numId="4" w16cid:durableId="292947899">
    <w:abstractNumId w:val="29"/>
  </w:num>
  <w:num w:numId="5" w16cid:durableId="509947709">
    <w:abstractNumId w:val="31"/>
  </w:num>
  <w:num w:numId="6" w16cid:durableId="1071460728">
    <w:abstractNumId w:val="46"/>
  </w:num>
  <w:num w:numId="7" w16cid:durableId="756023563">
    <w:abstractNumId w:val="53"/>
  </w:num>
  <w:num w:numId="8" w16cid:durableId="114063332">
    <w:abstractNumId w:val="10"/>
  </w:num>
  <w:num w:numId="9" w16cid:durableId="1437478789">
    <w:abstractNumId w:val="30"/>
  </w:num>
  <w:num w:numId="10" w16cid:durableId="518204015">
    <w:abstractNumId w:val="17"/>
  </w:num>
  <w:num w:numId="11" w16cid:durableId="2050104058">
    <w:abstractNumId w:val="1"/>
  </w:num>
  <w:num w:numId="12" w16cid:durableId="908807160">
    <w:abstractNumId w:val="23"/>
  </w:num>
  <w:num w:numId="13" w16cid:durableId="1664816549">
    <w:abstractNumId w:val="24"/>
  </w:num>
  <w:num w:numId="14" w16cid:durableId="1185899175">
    <w:abstractNumId w:val="7"/>
  </w:num>
  <w:num w:numId="15" w16cid:durableId="1538350714">
    <w:abstractNumId w:val="21"/>
  </w:num>
  <w:num w:numId="16" w16cid:durableId="461653686">
    <w:abstractNumId w:val="13"/>
  </w:num>
  <w:num w:numId="17" w16cid:durableId="296030617">
    <w:abstractNumId w:val="48"/>
  </w:num>
  <w:num w:numId="18" w16cid:durableId="1238395345">
    <w:abstractNumId w:val="42"/>
  </w:num>
  <w:num w:numId="19" w16cid:durableId="771242172">
    <w:abstractNumId w:val="41"/>
  </w:num>
  <w:num w:numId="20" w16cid:durableId="1728145414">
    <w:abstractNumId w:val="9"/>
  </w:num>
  <w:num w:numId="21" w16cid:durableId="502278155">
    <w:abstractNumId w:val="37"/>
  </w:num>
  <w:num w:numId="22" w16cid:durableId="1245065465">
    <w:abstractNumId w:val="52"/>
  </w:num>
  <w:num w:numId="23" w16cid:durableId="391779766">
    <w:abstractNumId w:val="14"/>
  </w:num>
  <w:num w:numId="24" w16cid:durableId="1514295014">
    <w:abstractNumId w:val="18"/>
  </w:num>
  <w:num w:numId="25" w16cid:durableId="1320379072">
    <w:abstractNumId w:val="6"/>
  </w:num>
  <w:num w:numId="26" w16cid:durableId="992375176">
    <w:abstractNumId w:val="49"/>
  </w:num>
  <w:num w:numId="27" w16cid:durableId="656610750">
    <w:abstractNumId w:val="27"/>
  </w:num>
  <w:num w:numId="28" w16cid:durableId="1068187677">
    <w:abstractNumId w:val="39"/>
  </w:num>
  <w:num w:numId="29" w16cid:durableId="318658838">
    <w:abstractNumId w:val="40"/>
  </w:num>
  <w:num w:numId="30" w16cid:durableId="2088308166">
    <w:abstractNumId w:val="16"/>
  </w:num>
  <w:num w:numId="31" w16cid:durableId="1411654882">
    <w:abstractNumId w:val="4"/>
    <w:lvlOverride w:ilvl="0">
      <w:lvl w:ilvl="0">
        <w:numFmt w:val="decimal"/>
        <w:lvlText w:val="%1."/>
        <w:lvlJc w:val="left"/>
      </w:lvl>
    </w:lvlOverride>
  </w:num>
  <w:num w:numId="32" w16cid:durableId="585303277">
    <w:abstractNumId w:val="4"/>
    <w:lvlOverride w:ilvl="0">
      <w:lvl w:ilvl="0">
        <w:numFmt w:val="decimal"/>
        <w:lvlText w:val="%1."/>
        <w:lvlJc w:val="left"/>
      </w:lvl>
    </w:lvlOverride>
  </w:num>
  <w:num w:numId="33" w16cid:durableId="1444306766">
    <w:abstractNumId w:val="4"/>
    <w:lvlOverride w:ilvl="0">
      <w:lvl w:ilvl="0">
        <w:numFmt w:val="decimal"/>
        <w:lvlText w:val="%1."/>
        <w:lvlJc w:val="left"/>
      </w:lvl>
    </w:lvlOverride>
  </w:num>
  <w:num w:numId="34" w16cid:durableId="1176190032">
    <w:abstractNumId w:val="36"/>
  </w:num>
  <w:num w:numId="35" w16cid:durableId="1188642745">
    <w:abstractNumId w:val="0"/>
  </w:num>
  <w:num w:numId="36" w16cid:durableId="11076140">
    <w:abstractNumId w:val="43"/>
  </w:num>
  <w:num w:numId="37" w16cid:durableId="1219702568">
    <w:abstractNumId w:val="50"/>
  </w:num>
  <w:num w:numId="38" w16cid:durableId="1597982402">
    <w:abstractNumId w:val="35"/>
    <w:lvlOverride w:ilvl="0">
      <w:lvl w:ilvl="0">
        <w:numFmt w:val="decimal"/>
        <w:lvlText w:val="%1."/>
        <w:lvlJc w:val="left"/>
      </w:lvl>
    </w:lvlOverride>
  </w:num>
  <w:num w:numId="39" w16cid:durableId="215439162">
    <w:abstractNumId w:val="35"/>
    <w:lvlOverride w:ilvl="0">
      <w:lvl w:ilvl="0">
        <w:numFmt w:val="decimal"/>
        <w:lvlText w:val="%1."/>
        <w:lvlJc w:val="left"/>
      </w:lvl>
    </w:lvlOverride>
  </w:num>
  <w:num w:numId="40" w16cid:durableId="73087801">
    <w:abstractNumId w:val="25"/>
  </w:num>
  <w:num w:numId="41" w16cid:durableId="1767381565">
    <w:abstractNumId w:val="20"/>
  </w:num>
  <w:num w:numId="42" w16cid:durableId="2057773871">
    <w:abstractNumId w:val="32"/>
  </w:num>
  <w:num w:numId="43" w16cid:durableId="654531021">
    <w:abstractNumId w:val="22"/>
  </w:num>
  <w:num w:numId="44" w16cid:durableId="1440949900">
    <w:abstractNumId w:val="26"/>
  </w:num>
  <w:num w:numId="45" w16cid:durableId="454056550">
    <w:abstractNumId w:val="5"/>
  </w:num>
  <w:num w:numId="46" w16cid:durableId="154028797">
    <w:abstractNumId w:val="3"/>
  </w:num>
  <w:num w:numId="47" w16cid:durableId="597369741">
    <w:abstractNumId w:val="34"/>
  </w:num>
  <w:num w:numId="48" w16cid:durableId="1514418131">
    <w:abstractNumId w:val="33"/>
  </w:num>
  <w:num w:numId="49" w16cid:durableId="662004098">
    <w:abstractNumId w:val="45"/>
  </w:num>
  <w:num w:numId="50" w16cid:durableId="1302810733">
    <w:abstractNumId w:val="12"/>
  </w:num>
  <w:num w:numId="51" w16cid:durableId="114295855">
    <w:abstractNumId w:val="38"/>
  </w:num>
  <w:num w:numId="52" w16cid:durableId="1526097573">
    <w:abstractNumId w:val="11"/>
  </w:num>
  <w:num w:numId="53" w16cid:durableId="1558005662">
    <w:abstractNumId w:val="28"/>
  </w:num>
  <w:num w:numId="54" w16cid:durableId="1710644343">
    <w:abstractNumId w:val="2"/>
  </w:num>
  <w:num w:numId="55" w16cid:durableId="1315139147">
    <w:abstractNumId w:val="19"/>
  </w:num>
  <w:num w:numId="56" w16cid:durableId="1900284941">
    <w:abstractNumId w:val="51"/>
  </w:num>
  <w:num w:numId="57" w16cid:durableId="1214467371">
    <w:abstractNumId w:val="8"/>
  </w:num>
  <w:num w:numId="58" w16cid:durableId="1257404206">
    <w:abstractNumId w:val="15"/>
  </w:num>
  <w:num w:numId="59" w16cid:durableId="2027052940">
    <w:abstractNumId w:val="44"/>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643"/>
    <w:rsid w:val="00011190"/>
    <w:rsid w:val="00043AF9"/>
    <w:rsid w:val="000A2DF2"/>
    <w:rsid w:val="000C6C4F"/>
    <w:rsid w:val="000D1F65"/>
    <w:rsid w:val="001179E1"/>
    <w:rsid w:val="00130CEB"/>
    <w:rsid w:val="00130DDF"/>
    <w:rsid w:val="0013184F"/>
    <w:rsid w:val="001E548A"/>
    <w:rsid w:val="002368B4"/>
    <w:rsid w:val="00280E3B"/>
    <w:rsid w:val="002B62B9"/>
    <w:rsid w:val="00343C5F"/>
    <w:rsid w:val="003879A0"/>
    <w:rsid w:val="0039284F"/>
    <w:rsid w:val="003C0E0B"/>
    <w:rsid w:val="003D505B"/>
    <w:rsid w:val="00406785"/>
    <w:rsid w:val="00412F17"/>
    <w:rsid w:val="00446DAB"/>
    <w:rsid w:val="00466DDB"/>
    <w:rsid w:val="004C6872"/>
    <w:rsid w:val="004F4A32"/>
    <w:rsid w:val="00577529"/>
    <w:rsid w:val="005A06EA"/>
    <w:rsid w:val="005B43B3"/>
    <w:rsid w:val="005E3E75"/>
    <w:rsid w:val="006429CB"/>
    <w:rsid w:val="006A3E7B"/>
    <w:rsid w:val="006D1DA3"/>
    <w:rsid w:val="006D2AEB"/>
    <w:rsid w:val="006D3B98"/>
    <w:rsid w:val="006F64E5"/>
    <w:rsid w:val="00750A6A"/>
    <w:rsid w:val="007A652C"/>
    <w:rsid w:val="0082197F"/>
    <w:rsid w:val="00837DDD"/>
    <w:rsid w:val="0085026D"/>
    <w:rsid w:val="00877BF6"/>
    <w:rsid w:val="008963A7"/>
    <w:rsid w:val="008A5256"/>
    <w:rsid w:val="008E7E1A"/>
    <w:rsid w:val="00934D4B"/>
    <w:rsid w:val="009B1C92"/>
    <w:rsid w:val="009D466F"/>
    <w:rsid w:val="009D6200"/>
    <w:rsid w:val="009E28DC"/>
    <w:rsid w:val="00A15643"/>
    <w:rsid w:val="00A21FF6"/>
    <w:rsid w:val="00A550B2"/>
    <w:rsid w:val="00A84E28"/>
    <w:rsid w:val="00A905A5"/>
    <w:rsid w:val="00AE08E6"/>
    <w:rsid w:val="00AE3EFC"/>
    <w:rsid w:val="00AF3847"/>
    <w:rsid w:val="00B26EF2"/>
    <w:rsid w:val="00B40389"/>
    <w:rsid w:val="00B61B15"/>
    <w:rsid w:val="00B93FA6"/>
    <w:rsid w:val="00BB3244"/>
    <w:rsid w:val="00BD455E"/>
    <w:rsid w:val="00BF6F54"/>
    <w:rsid w:val="00CB373D"/>
    <w:rsid w:val="00CC2E47"/>
    <w:rsid w:val="00CD638E"/>
    <w:rsid w:val="00D431F0"/>
    <w:rsid w:val="00D66EF1"/>
    <w:rsid w:val="00DB58B4"/>
    <w:rsid w:val="00DE1A21"/>
    <w:rsid w:val="00DF6052"/>
    <w:rsid w:val="00E343DE"/>
    <w:rsid w:val="00EF6391"/>
    <w:rsid w:val="00F3699C"/>
    <w:rsid w:val="00F47781"/>
    <w:rsid w:val="00F72BA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7AEDA"/>
  <w15:chartTrackingRefBased/>
  <w15:docId w15:val="{EFDBFEC0-8A6C-4910-A9DB-770D7F54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56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56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56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56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56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56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56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56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56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56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56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56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56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56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56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56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56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5643"/>
    <w:rPr>
      <w:rFonts w:eastAsiaTheme="majorEastAsia" w:cstheme="majorBidi"/>
      <w:color w:val="272727" w:themeColor="text1" w:themeTint="D8"/>
    </w:rPr>
  </w:style>
  <w:style w:type="paragraph" w:styleId="Title">
    <w:name w:val="Title"/>
    <w:basedOn w:val="Normal"/>
    <w:next w:val="Normal"/>
    <w:link w:val="TitleChar"/>
    <w:uiPriority w:val="10"/>
    <w:qFormat/>
    <w:rsid w:val="00A156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56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56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56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5643"/>
    <w:pPr>
      <w:spacing w:before="160"/>
      <w:jc w:val="center"/>
    </w:pPr>
    <w:rPr>
      <w:i/>
      <w:iCs/>
      <w:color w:val="404040" w:themeColor="text1" w:themeTint="BF"/>
    </w:rPr>
  </w:style>
  <w:style w:type="character" w:customStyle="1" w:styleId="QuoteChar">
    <w:name w:val="Quote Char"/>
    <w:basedOn w:val="DefaultParagraphFont"/>
    <w:link w:val="Quote"/>
    <w:uiPriority w:val="29"/>
    <w:rsid w:val="00A15643"/>
    <w:rPr>
      <w:i/>
      <w:iCs/>
      <w:color w:val="404040" w:themeColor="text1" w:themeTint="BF"/>
    </w:rPr>
  </w:style>
  <w:style w:type="paragraph" w:styleId="ListParagraph">
    <w:name w:val="List Paragraph"/>
    <w:basedOn w:val="Normal"/>
    <w:uiPriority w:val="34"/>
    <w:qFormat/>
    <w:rsid w:val="00A15643"/>
    <w:pPr>
      <w:ind w:left="720"/>
      <w:contextualSpacing/>
    </w:pPr>
  </w:style>
  <w:style w:type="character" w:styleId="IntenseEmphasis">
    <w:name w:val="Intense Emphasis"/>
    <w:basedOn w:val="DefaultParagraphFont"/>
    <w:uiPriority w:val="21"/>
    <w:qFormat/>
    <w:rsid w:val="00A15643"/>
    <w:rPr>
      <w:i/>
      <w:iCs/>
      <w:color w:val="0F4761" w:themeColor="accent1" w:themeShade="BF"/>
    </w:rPr>
  </w:style>
  <w:style w:type="paragraph" w:styleId="IntenseQuote">
    <w:name w:val="Intense Quote"/>
    <w:basedOn w:val="Normal"/>
    <w:next w:val="Normal"/>
    <w:link w:val="IntenseQuoteChar"/>
    <w:uiPriority w:val="30"/>
    <w:qFormat/>
    <w:rsid w:val="00A156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5643"/>
    <w:rPr>
      <w:i/>
      <w:iCs/>
      <w:color w:val="0F4761" w:themeColor="accent1" w:themeShade="BF"/>
    </w:rPr>
  </w:style>
  <w:style w:type="character" w:styleId="IntenseReference">
    <w:name w:val="Intense Reference"/>
    <w:basedOn w:val="DefaultParagraphFont"/>
    <w:uiPriority w:val="32"/>
    <w:qFormat/>
    <w:rsid w:val="00A15643"/>
    <w:rPr>
      <w:b/>
      <w:bCs/>
      <w:smallCaps/>
      <w:color w:val="0F4761" w:themeColor="accent1" w:themeShade="BF"/>
      <w:spacing w:val="5"/>
    </w:rPr>
  </w:style>
  <w:style w:type="character" w:styleId="Hyperlink">
    <w:name w:val="Hyperlink"/>
    <w:basedOn w:val="DefaultParagraphFont"/>
    <w:uiPriority w:val="99"/>
    <w:unhideWhenUsed/>
    <w:rsid w:val="002B62B9"/>
    <w:rPr>
      <w:color w:val="467886" w:themeColor="hyperlink"/>
      <w:u w:val="single"/>
    </w:rPr>
  </w:style>
  <w:style w:type="paragraph" w:styleId="NormalWeb">
    <w:name w:val="Normal (Web)"/>
    <w:basedOn w:val="Normal"/>
    <w:uiPriority w:val="99"/>
    <w:semiHidden/>
    <w:unhideWhenUsed/>
    <w:rsid w:val="0013184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254</TotalTime>
  <Pages>86</Pages>
  <Words>46755</Words>
  <Characters>266504</Characters>
  <Application>Microsoft Office Word</Application>
  <DocSecurity>0</DocSecurity>
  <Lines>2220</Lines>
  <Paragraphs>625</Paragraphs>
  <ScaleCrop>false</ScaleCrop>
  <Company/>
  <LinksUpToDate>false</LinksUpToDate>
  <CharactersWithSpaces>312634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Secretary</dc:creator>
  <cp:keywords/>
  <dc:description/>
  <cp:lastModifiedBy>Julie Green</cp:lastModifiedBy>
  <cp:revision>53</cp:revision>
  <dcterms:created xsi:type="dcterms:W3CDTF">2026-07-04T04:39:00Z</dcterms:created>
  <dcterms:modified xsi:type="dcterms:W3CDTF">2026-07-05T06:35:00Z</dcterms:modified>
</cp:coreProperties>
</file>