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4D763" w14:textId="24E9F78E" w:rsidR="00943841" w:rsidRDefault="002F5424" w:rsidP="002F5424">
      <w:pPr>
        <w:pStyle w:val="Prrafodelista"/>
        <w:numPr>
          <w:ilvl w:val="0"/>
          <w:numId w:val="1"/>
        </w:numPr>
      </w:pPr>
      <w:r w:rsidRPr="002F5424">
        <w:t xml:space="preserve">Implementar algoritmos de </w:t>
      </w:r>
      <w:r w:rsidRPr="002F5424">
        <w:t>árboles</w:t>
      </w:r>
      <w:r w:rsidRPr="002F5424">
        <w:t xml:space="preserve"> binarios</w:t>
      </w:r>
    </w:p>
    <w:p w14:paraId="6BFF2123" w14:textId="7CF876B8" w:rsidR="002F5424" w:rsidRDefault="002F5424" w:rsidP="002F5424">
      <w:r>
        <w:t>La interpretación del árbol de decisión te permite entender cómo el modelo toma decisiones basadas en las características del dataset. Las métricas de rendimiento y la visualización del árbol proporcionan una visión clara de la precisión del modelo y de las reglas de decisión subyacentes</w:t>
      </w:r>
      <w:r>
        <w:t xml:space="preserve">. </w:t>
      </w:r>
    </w:p>
    <w:p w14:paraId="6369C065" w14:textId="77777777" w:rsidR="002F5424" w:rsidRDefault="002F5424" w:rsidP="002F5424">
      <w:r>
        <w:t>Cada camino desde la raíz hasta una hoja representa una regla de decisión. Por ejemplo:</w:t>
      </w:r>
    </w:p>
    <w:p w14:paraId="7D6A1457" w14:textId="77777777" w:rsidR="002F5424" w:rsidRDefault="002F5424" w:rsidP="002F5424">
      <w:r>
        <w:t xml:space="preserve">    Si TotalCases &gt; 50,000 y TotalDeaths &gt; 1,000, entonces ActiveCases es High.</w:t>
      </w:r>
    </w:p>
    <w:p w14:paraId="16B9AC25" w14:textId="699B50A7" w:rsidR="002F5424" w:rsidRDefault="002F5424" w:rsidP="002F5424">
      <w:r>
        <w:t xml:space="preserve">    Si TotalCases &lt;= 50,000, entonces ActiveCases es Low.</w:t>
      </w:r>
    </w:p>
    <w:p w14:paraId="2D6804FB" w14:textId="77777777" w:rsidR="002F5424" w:rsidRDefault="002F5424" w:rsidP="002F5424">
      <w:r>
        <w:t>Interpretación:</w:t>
      </w:r>
    </w:p>
    <w:p w14:paraId="6786B888" w14:textId="77777777" w:rsidR="002F5424" w:rsidRDefault="002F5424" w:rsidP="002F5424">
      <w:r>
        <w:t xml:space="preserve">    Si TotalCases &gt; 50,000 y TotalDeaths &gt; 1,000, entonces ActiveCases es High.</w:t>
      </w:r>
    </w:p>
    <w:p w14:paraId="36622202" w14:textId="77777777" w:rsidR="002F5424" w:rsidRDefault="002F5424" w:rsidP="002F5424">
      <w:r>
        <w:t xml:space="preserve">    Si TotalCases &gt; 50,000 y TotalDeaths &lt;= 1,000, entonces ActiveCases es Low.</w:t>
      </w:r>
    </w:p>
    <w:p w14:paraId="38F0D231" w14:textId="6DBF7014" w:rsidR="002F5424" w:rsidRDefault="002F5424" w:rsidP="002F5424">
      <w:r>
        <w:t xml:space="preserve">    Si TotalCases &lt;= 50,000, entonces ActiveCases es Low.</w:t>
      </w:r>
    </w:p>
    <w:p w14:paraId="05FBA458" w14:textId="5C263F25" w:rsidR="002F5424" w:rsidRDefault="002F5424" w:rsidP="002F5424">
      <w:r>
        <w:t>La profundidad del árbol indica cuántos niveles de decisión se tomaron. Un árbol más profundo puede capturar más complejidades, pero también corre el riesgo de sobreajustarse a los datos de entrenamiento.</w:t>
      </w:r>
    </w:p>
    <w:p w14:paraId="13D45BEE" w14:textId="38AC9250" w:rsidR="002F5424" w:rsidRDefault="002F5424" w:rsidP="002F5424">
      <w:r>
        <w:rPr>
          <w:noProof/>
        </w:rPr>
        <w:drawing>
          <wp:inline distT="0" distB="0" distL="0" distR="0" wp14:anchorId="1A791354" wp14:editId="7789D7DD">
            <wp:extent cx="5943600" cy="2989580"/>
            <wp:effectExtent l="0" t="0" r="0" b="1270"/>
            <wp:docPr id="79181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DC1B" w14:textId="77777777" w:rsidR="002F5424" w:rsidRDefault="002F5424">
      <w:r>
        <w:br w:type="page"/>
      </w:r>
    </w:p>
    <w:p w14:paraId="47D45ACF" w14:textId="28A0DB5A" w:rsidR="002F5424" w:rsidRDefault="00833E0C" w:rsidP="00833E0C">
      <w:pPr>
        <w:pStyle w:val="Prrafodelista"/>
        <w:numPr>
          <w:ilvl w:val="0"/>
          <w:numId w:val="1"/>
        </w:numPr>
      </w:pPr>
      <w:r w:rsidRPr="00833E0C">
        <w:lastRenderedPageBreak/>
        <w:t>Implementar algoritmos de regresión lineal</w:t>
      </w:r>
    </w:p>
    <w:p w14:paraId="66C28959" w14:textId="22A9BCB4" w:rsidR="00833E0C" w:rsidRDefault="00833E0C" w:rsidP="00833E0C">
      <w:pPr>
        <w:ind w:left="360"/>
      </w:pPr>
      <w:r>
        <w:t>Interpretar los resultados de una regresión lineal implica analizar tanto las métricas de rendimiento como los gráficos de validación. Un buen R² y un bajo MSE indican un modelo bien ajustado, mientras que los gráficos de residuos ayudan a identificar cualquier problema en las predicciones del modelo.</w:t>
      </w:r>
    </w:p>
    <w:p w14:paraId="32387374" w14:textId="77777777" w:rsidR="00833E0C" w:rsidRDefault="00833E0C" w:rsidP="00833E0C">
      <w:pPr>
        <w:ind w:left="360"/>
      </w:pPr>
      <w:r>
        <w:t>Interpretación de los Gráficos</w:t>
      </w:r>
    </w:p>
    <w:p w14:paraId="5A4027D2" w14:textId="5DC1007F" w:rsidR="00833E0C" w:rsidRDefault="00833E0C" w:rsidP="00833E0C">
      <w:pPr>
        <w:pStyle w:val="Prrafodelista"/>
        <w:numPr>
          <w:ilvl w:val="0"/>
          <w:numId w:val="2"/>
        </w:numPr>
      </w:pPr>
      <w:r>
        <w:t>Valores Reales vs. Valores Predichos: Si los puntos están cerca de la línea y=xy=x, indica buenas predicciones. Si hay mucha dispersión, el modelo tiene errores significativos.</w:t>
      </w:r>
    </w:p>
    <w:p w14:paraId="6A448212" w14:textId="534937F5" w:rsidR="00833E0C" w:rsidRDefault="00833E0C" w:rsidP="00833E0C">
      <w:pPr>
        <w:pStyle w:val="Prrafodelista"/>
        <w:numPr>
          <w:ilvl w:val="0"/>
          <w:numId w:val="2"/>
        </w:numPr>
      </w:pPr>
      <w:r>
        <w:t>Gráfico de Residuos: Si los residuos están distribuidos aleatoriamente alrededor de cero, es una señal de que el modelo está bien ajustado. Patrones en los residuos pueden sugerir problemas como:</w:t>
      </w:r>
    </w:p>
    <w:p w14:paraId="613EE41F" w14:textId="79367F40" w:rsidR="00833E0C" w:rsidRDefault="00833E0C" w:rsidP="00833E0C">
      <w:pPr>
        <w:pStyle w:val="Prrafodelista"/>
        <w:numPr>
          <w:ilvl w:val="1"/>
          <w:numId w:val="2"/>
        </w:numPr>
      </w:pPr>
      <w:r>
        <w:t>Tendencias: Podrían indicar relaciones no lineales no capturadas por el modelo.</w:t>
      </w:r>
    </w:p>
    <w:p w14:paraId="5629DB2E" w14:textId="045C5FA7" w:rsidR="00833E0C" w:rsidRDefault="00833E0C" w:rsidP="00833E0C">
      <w:pPr>
        <w:pStyle w:val="Prrafodelista"/>
        <w:numPr>
          <w:ilvl w:val="1"/>
          <w:numId w:val="2"/>
        </w:numPr>
      </w:pPr>
      <w:r>
        <w:t>Heterocedasticidad: Si la variabilidad de los residuos cambia con los valores predichos, puede ser necesario transformar las variables o usar un modelo más complejo.</w:t>
      </w:r>
    </w:p>
    <w:p w14:paraId="5FF33161" w14:textId="056A5BB9" w:rsidR="00833E0C" w:rsidRDefault="00833E0C" w:rsidP="00833E0C">
      <w:r>
        <w:t>Este gráfico muestra los residuos (diferencias entre los valores reales y predichos) en función de los valores predichos. Ayuda a identificar patrones en los errores que pueden indicar problemas con el modelo, como heterocedasticidad (variabilidad no constante) o falta de ajuste en ciertas regiones.</w:t>
      </w:r>
    </w:p>
    <w:p w14:paraId="4A39F908" w14:textId="336859D5" w:rsidR="00833E0C" w:rsidRDefault="00833E0C" w:rsidP="00833E0C">
      <w:r>
        <w:rPr>
          <w:noProof/>
        </w:rPr>
        <w:drawing>
          <wp:inline distT="0" distB="0" distL="0" distR="0" wp14:anchorId="6A09609C" wp14:editId="597688BB">
            <wp:extent cx="5457825" cy="4162425"/>
            <wp:effectExtent l="0" t="0" r="9525" b="9525"/>
            <wp:docPr id="214489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C4FB" w14:textId="5FB115EE" w:rsidR="00833E0C" w:rsidRDefault="00833E0C" w:rsidP="00833E0C">
      <w:r>
        <w:rPr>
          <w:noProof/>
        </w:rPr>
        <w:lastRenderedPageBreak/>
        <w:drawing>
          <wp:inline distT="0" distB="0" distL="0" distR="0" wp14:anchorId="7D708E87" wp14:editId="13DEA6C9">
            <wp:extent cx="5286375" cy="4162425"/>
            <wp:effectExtent l="0" t="0" r="9525" b="9525"/>
            <wp:docPr id="12096023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0C9E" w14:textId="59FEB033" w:rsidR="004B4156" w:rsidRDefault="004B4156" w:rsidP="004B4156">
      <w:pPr>
        <w:pStyle w:val="Prrafodelista"/>
        <w:numPr>
          <w:ilvl w:val="0"/>
          <w:numId w:val="1"/>
        </w:numPr>
      </w:pPr>
      <w:r>
        <w:t>I</w:t>
      </w:r>
      <w:r w:rsidRPr="004B4156">
        <w:t>mplementar algoritmos de regresión logística</w:t>
      </w:r>
    </w:p>
    <w:p w14:paraId="6B15C3F3" w14:textId="7B43FD3B" w:rsidR="004749B9" w:rsidRDefault="004749B9" w:rsidP="004749B9">
      <w:r>
        <w:t>La regresión logística es un algoritmo de aprendizaje supervisado utilizado para tareas de clasificación binaria.    La regresión logística modela la relación entre las características independientes (XX) y una variable dependiente binaria (yy) usando la función sigmoide:</w:t>
      </w:r>
    </w:p>
    <w:p w14:paraId="3D0B4347" w14:textId="77777777" w:rsidR="004749B9" w:rsidRDefault="004749B9" w:rsidP="004749B9">
      <w:r>
        <w:t xml:space="preserve">    P(y=1</w:t>
      </w:r>
      <w:r>
        <w:rPr>
          <w:rFonts w:ascii="Cambria Math" w:hAnsi="Cambria Math" w:cs="Cambria Math"/>
        </w:rPr>
        <w:t>∣</w:t>
      </w:r>
      <w:r>
        <w:t>X)=11+e</w:t>
      </w:r>
      <w:r>
        <w:rPr>
          <w:rFonts w:ascii="Calibri" w:hAnsi="Calibri" w:cs="Calibri"/>
        </w:rPr>
        <w:t>−</w:t>
      </w:r>
      <w:r>
        <w:t>(</w:t>
      </w:r>
      <w:r>
        <w:rPr>
          <w:rFonts w:ascii="Calibri" w:hAnsi="Calibri" w:cs="Calibri"/>
        </w:rPr>
        <w:t>β</w:t>
      </w:r>
      <w:r>
        <w:t>0+</w:t>
      </w:r>
      <w:r>
        <w:rPr>
          <w:rFonts w:ascii="Calibri" w:hAnsi="Calibri" w:cs="Calibri"/>
        </w:rPr>
        <w:t>β</w:t>
      </w:r>
      <w:r>
        <w:t>1X1+</w:t>
      </w:r>
      <w:r>
        <w:rPr>
          <w:rFonts w:ascii="Calibri" w:hAnsi="Calibri" w:cs="Calibri"/>
        </w:rPr>
        <w:t>β</w:t>
      </w:r>
      <w:r>
        <w:t>2X2+</w:t>
      </w:r>
      <w:r>
        <w:rPr>
          <w:rFonts w:ascii="Cambria Math" w:hAnsi="Cambria Math" w:cs="Cambria Math"/>
        </w:rPr>
        <w:t>⋯</w:t>
      </w:r>
      <w:r>
        <w:t>+</w:t>
      </w:r>
      <w:r>
        <w:rPr>
          <w:rFonts w:ascii="Calibri" w:hAnsi="Calibri" w:cs="Calibri"/>
        </w:rPr>
        <w:t>β</w:t>
      </w:r>
      <w:r>
        <w:t>nXn)P(y=1</w:t>
      </w:r>
      <w:r>
        <w:rPr>
          <w:rFonts w:ascii="Cambria Math" w:hAnsi="Cambria Math" w:cs="Cambria Math"/>
        </w:rPr>
        <w:t>∣</w:t>
      </w:r>
      <w:r>
        <w:t>X)=1+e</w:t>
      </w:r>
      <w:r>
        <w:rPr>
          <w:rFonts w:ascii="Calibri" w:hAnsi="Calibri" w:cs="Calibri"/>
        </w:rPr>
        <w:t>−</w:t>
      </w:r>
      <w:r>
        <w:t>(</w:t>
      </w:r>
      <w:r>
        <w:rPr>
          <w:rFonts w:ascii="Calibri" w:hAnsi="Calibri" w:cs="Calibri"/>
        </w:rPr>
        <w:t>β</w:t>
      </w:r>
      <w:r>
        <w:t>0</w:t>
      </w:r>
      <w:r>
        <w:rPr>
          <w:rFonts w:ascii="Calibri" w:hAnsi="Calibri" w:cs="Calibri"/>
        </w:rPr>
        <w:t>​</w:t>
      </w:r>
      <w:r>
        <w:t>+</w:t>
      </w:r>
      <w:r>
        <w:rPr>
          <w:rFonts w:ascii="Calibri" w:hAnsi="Calibri" w:cs="Calibri"/>
        </w:rPr>
        <w:t>β</w:t>
      </w:r>
      <w:r>
        <w:t>1</w:t>
      </w:r>
      <w:r>
        <w:rPr>
          <w:rFonts w:ascii="Calibri" w:hAnsi="Calibri" w:cs="Calibri"/>
        </w:rPr>
        <w:t>​</w:t>
      </w:r>
      <w:r>
        <w:t>X1</w:t>
      </w:r>
      <w:r>
        <w:rPr>
          <w:rFonts w:ascii="Calibri" w:hAnsi="Calibri" w:cs="Calibri"/>
        </w:rPr>
        <w:t>​</w:t>
      </w:r>
      <w:r>
        <w:t>+</w:t>
      </w:r>
      <w:r>
        <w:rPr>
          <w:rFonts w:ascii="Calibri" w:hAnsi="Calibri" w:cs="Calibri"/>
        </w:rPr>
        <w:t>β</w:t>
      </w:r>
      <w:r>
        <w:t>2</w:t>
      </w:r>
      <w:r>
        <w:rPr>
          <w:rFonts w:ascii="Calibri" w:hAnsi="Calibri" w:cs="Calibri"/>
        </w:rPr>
        <w:t>​</w:t>
      </w:r>
      <w:r>
        <w:t>X2</w:t>
      </w:r>
      <w:r>
        <w:rPr>
          <w:rFonts w:ascii="Calibri" w:hAnsi="Calibri" w:cs="Calibri"/>
        </w:rPr>
        <w:t>​</w:t>
      </w:r>
      <w:r>
        <w:t>+</w:t>
      </w:r>
      <w:r>
        <w:rPr>
          <w:rFonts w:ascii="Cambria Math" w:hAnsi="Cambria Math" w:cs="Cambria Math"/>
        </w:rPr>
        <w:t>⋯</w:t>
      </w:r>
      <w:r>
        <w:t>+</w:t>
      </w:r>
      <w:r>
        <w:rPr>
          <w:rFonts w:ascii="Calibri" w:hAnsi="Calibri" w:cs="Calibri"/>
        </w:rPr>
        <w:t>β</w:t>
      </w:r>
      <w:r>
        <w:t>n</w:t>
      </w:r>
      <w:r>
        <w:rPr>
          <w:rFonts w:ascii="Calibri" w:hAnsi="Calibri" w:cs="Calibri"/>
        </w:rPr>
        <w:t>​</w:t>
      </w:r>
      <w:r>
        <w:t>Xn</w:t>
      </w:r>
      <w:r>
        <w:rPr>
          <w:rFonts w:ascii="Calibri" w:hAnsi="Calibri" w:cs="Calibri"/>
        </w:rPr>
        <w:t>​</w:t>
      </w:r>
      <w:r>
        <w:t>)1</w:t>
      </w:r>
      <w:r>
        <w:rPr>
          <w:rFonts w:ascii="Calibri" w:hAnsi="Calibri" w:cs="Calibri"/>
        </w:rPr>
        <w:t>​</w:t>
      </w:r>
    </w:p>
    <w:p w14:paraId="7C96446A" w14:textId="7420DA53" w:rsidR="004B4156" w:rsidRDefault="004749B9" w:rsidP="004749B9">
      <w:r>
        <w:t xml:space="preserve">    Aquí, P(y=1</w:t>
      </w:r>
      <w:r>
        <w:rPr>
          <w:rFonts w:ascii="Cambria Math" w:hAnsi="Cambria Math" w:cs="Cambria Math"/>
        </w:rPr>
        <w:t>∣</w:t>
      </w:r>
      <w:r>
        <w:t>X)P(y=1</w:t>
      </w:r>
      <w:r>
        <w:rPr>
          <w:rFonts w:ascii="Cambria Math" w:hAnsi="Cambria Math" w:cs="Cambria Math"/>
        </w:rPr>
        <w:t>∣</w:t>
      </w:r>
      <w:r>
        <w:t xml:space="preserve">X) es la probabilidad de que yy sea 1 dado XX, y </w:t>
      </w:r>
      <w:r>
        <w:rPr>
          <w:rFonts w:ascii="Calibri" w:hAnsi="Calibri" w:cs="Calibri"/>
        </w:rPr>
        <w:t>ββ</w:t>
      </w:r>
      <w:r>
        <w:t xml:space="preserve"> son los coeficientes del modelo.</w:t>
      </w:r>
    </w:p>
    <w:p w14:paraId="295089EE" w14:textId="77777777" w:rsidR="004749B9" w:rsidRDefault="004749B9" w:rsidP="004749B9">
      <w:r>
        <w:t>Durante el entrenamiento, el algoritmo ajusta los coeficientes ββ minimizando la función de pérdida logarítmica, también conocida como pérdida logarítmica binaria.</w:t>
      </w:r>
    </w:p>
    <w:p w14:paraId="2347FA69" w14:textId="77777777" w:rsidR="004749B9" w:rsidRDefault="004749B9" w:rsidP="004749B9">
      <w:r>
        <w:t>Las predicciones se realizan calculando la probabilidad de la clase positiva y asignando la clase basada en un umbral (por defecto 0.5). Es decir:</w:t>
      </w:r>
    </w:p>
    <w:p w14:paraId="1B5E6237" w14:textId="77777777" w:rsidR="004749B9" w:rsidRDefault="004749B9" w:rsidP="004749B9">
      <w:r>
        <w:t>1 &amp; \text{si } P(y=1|X) &gt; 0.5 \\</w:t>
      </w:r>
    </w:p>
    <w:p w14:paraId="0EEAAA2E" w14:textId="77777777" w:rsidR="004749B9" w:rsidRDefault="004749B9" w:rsidP="004749B9">
      <w:r>
        <w:t>0 &amp; \text{si } P(y=1|X) \leq 0.5</w:t>
      </w:r>
    </w:p>
    <w:p w14:paraId="50F22DB6" w14:textId="5B8F6427" w:rsidR="004749B9" w:rsidRDefault="004749B9" w:rsidP="004749B9">
      <w:r>
        <w:t>\end{cases} \]</w:t>
      </w:r>
    </w:p>
    <w:p w14:paraId="4E28041F" w14:textId="0725F450" w:rsidR="004749B9" w:rsidRDefault="004749B9" w:rsidP="002F5424">
      <w:r>
        <w:lastRenderedPageBreak/>
        <w:t>La matriz de confusión proporciona una visualización clara de los verdaderos positivos, verdaderos negativos, falsos positivos y falsos negativos. Esto es útil para identificar qué tipo de errores está cometiendo el modelo.</w:t>
      </w:r>
    </w:p>
    <w:p w14:paraId="4A3E6B39" w14:textId="6C857706" w:rsidR="004749B9" w:rsidRDefault="004749B9" w:rsidP="002F5424">
      <w:r>
        <w:rPr>
          <w:noProof/>
        </w:rPr>
        <w:drawing>
          <wp:inline distT="0" distB="0" distL="0" distR="0" wp14:anchorId="201E4AAB" wp14:editId="5D825861">
            <wp:extent cx="5848350" cy="5000625"/>
            <wp:effectExtent l="0" t="0" r="0" b="9525"/>
            <wp:docPr id="112850029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1CE0" w14:textId="2332E340" w:rsidR="004749B9" w:rsidRDefault="004749B9" w:rsidP="004749B9">
      <w:pPr>
        <w:pStyle w:val="Prrafodelista"/>
        <w:numPr>
          <w:ilvl w:val="0"/>
          <w:numId w:val="1"/>
        </w:numPr>
      </w:pPr>
      <w:r w:rsidRPr="004749B9">
        <w:t>Implementar algoritmos de clustering</w:t>
      </w:r>
    </w:p>
    <w:p w14:paraId="44F91738" w14:textId="77777777" w:rsidR="00DC5CC4" w:rsidRDefault="00DC5CC4" w:rsidP="00DC5CC4">
      <w:r>
        <w:t>Los clusters identificados permiten categorizar a los países según su situación respecto a la pandemia. Esta información puede ser útil para:</w:t>
      </w:r>
    </w:p>
    <w:p w14:paraId="4E655F11" w14:textId="5ADEA3CB" w:rsidR="00DC5CC4" w:rsidRDefault="00DC5CC4" w:rsidP="00DC5CC4">
      <w:pPr>
        <w:pStyle w:val="Prrafodelista"/>
        <w:numPr>
          <w:ilvl w:val="0"/>
          <w:numId w:val="3"/>
        </w:numPr>
      </w:pPr>
      <w:r>
        <w:t>Análisis Comparativo: Comparar la eficacia de las políticas de salud pública entre diferentes grupos de países.</w:t>
      </w:r>
    </w:p>
    <w:p w14:paraId="21FCEB0A" w14:textId="75D65DDC" w:rsidR="00DC5CC4" w:rsidRDefault="00DC5CC4" w:rsidP="00DC5CC4">
      <w:pPr>
        <w:pStyle w:val="Prrafodelista"/>
        <w:numPr>
          <w:ilvl w:val="0"/>
          <w:numId w:val="3"/>
        </w:numPr>
      </w:pPr>
      <w:r>
        <w:t>Toma de Decisiones: Identificar países con situaciones similares para adoptar estrategias comunes.</w:t>
      </w:r>
    </w:p>
    <w:p w14:paraId="56B4011B" w14:textId="5BAA99D6" w:rsidR="004749B9" w:rsidRDefault="00DC5CC4" w:rsidP="00DC5CC4">
      <w:pPr>
        <w:pStyle w:val="Prrafodelista"/>
        <w:numPr>
          <w:ilvl w:val="0"/>
          <w:numId w:val="3"/>
        </w:numPr>
      </w:pPr>
      <w:r>
        <w:t>Estudios Epidemiológicos: Realizar estudios más detallados sobre los factores que contribuyen a las diferencias en la propagación y recuperación de COVID-19.</w:t>
      </w:r>
    </w:p>
    <w:p w14:paraId="0576C0CC" w14:textId="77777777" w:rsidR="00E674AD" w:rsidRDefault="00E674AD" w:rsidP="00E674AD"/>
    <w:p w14:paraId="1BDC9FC1" w14:textId="77777777" w:rsidR="00E674AD" w:rsidRDefault="00E674AD" w:rsidP="00E674AD"/>
    <w:p w14:paraId="326E75CC" w14:textId="37CF0416" w:rsidR="00E674AD" w:rsidRDefault="00E674AD" w:rsidP="00E674AD">
      <w:r>
        <w:lastRenderedPageBreak/>
        <w:t>Interpretación</w:t>
      </w:r>
    </w:p>
    <w:p w14:paraId="59369781" w14:textId="4FC1C27E" w:rsidR="00E674AD" w:rsidRDefault="00E674AD" w:rsidP="00E674AD">
      <w:pPr>
        <w:pStyle w:val="Prrafodelista"/>
        <w:numPr>
          <w:ilvl w:val="0"/>
          <w:numId w:val="4"/>
        </w:numPr>
      </w:pPr>
      <w:r>
        <w:t>Visualización: Observa cómo se agrupan los países en el gráfico de dispersión.</w:t>
      </w:r>
    </w:p>
    <w:p w14:paraId="1E5F1159" w14:textId="37460764" w:rsidR="00E674AD" w:rsidRDefault="00E674AD" w:rsidP="00E674AD">
      <w:pPr>
        <w:pStyle w:val="Prrafodelista"/>
        <w:numPr>
          <w:ilvl w:val="0"/>
          <w:numId w:val="4"/>
        </w:numPr>
      </w:pPr>
      <w:r>
        <w:t>Estadísticas Descriptivas: Examina las características promedio de cada cluster.</w:t>
      </w:r>
    </w:p>
    <w:p w14:paraId="402942DF" w14:textId="43815C44" w:rsidR="00E674AD" w:rsidRDefault="00E674AD" w:rsidP="00E674AD">
      <w:pPr>
        <w:pStyle w:val="Prrafodelista"/>
        <w:numPr>
          <w:ilvl w:val="0"/>
          <w:numId w:val="4"/>
        </w:numPr>
      </w:pPr>
      <w:r>
        <w:t>Comparación: Identifica patrones y diferencias entre los clusters.</w:t>
      </w:r>
    </w:p>
    <w:p w14:paraId="795CFCCD" w14:textId="4758324D" w:rsidR="00E674AD" w:rsidRDefault="00E674AD" w:rsidP="00E674AD">
      <w:pPr>
        <w:pStyle w:val="Prrafodelista"/>
        <w:numPr>
          <w:ilvl w:val="0"/>
          <w:numId w:val="4"/>
        </w:numPr>
      </w:pPr>
      <w:r>
        <w:t>Aplicaciones Prácticas: Utiliza la información para análisis y toma de decisiones.</w:t>
      </w:r>
    </w:p>
    <w:p w14:paraId="23C797A3" w14:textId="77777777" w:rsidR="00E674AD" w:rsidRDefault="00E674AD" w:rsidP="00E674AD">
      <w:r>
        <w:t>Interpretación de la Separación de Clusters</w:t>
      </w:r>
    </w:p>
    <w:p w14:paraId="0A41437A" w14:textId="3564FC38" w:rsidR="00E674AD" w:rsidRDefault="00E674AD" w:rsidP="00E674AD">
      <w:r>
        <w:t>La separación de los clusters en el gráfico de dispersión y las diferencias en las estadísticas descriptivas</w:t>
      </w:r>
      <w:r>
        <w:t xml:space="preserve">. </w:t>
      </w:r>
      <w:r>
        <w:t>Los países se agrupan en diferentes clusters según la gravedad y la gestión de la pandemia.</w:t>
      </w:r>
      <w:r>
        <w:t xml:space="preserve"> </w:t>
      </w:r>
      <w:r>
        <w:t>Si un cluster tiene más puntos (países) que otro, indica que esa situación particular (por ejemplo, un número moderado de casos) es más común entre los países.</w:t>
      </w:r>
      <w:r>
        <w:t xml:space="preserve"> </w:t>
      </w:r>
      <w:r>
        <w:t>Los clusters muestran diferencias claras en las estadísticas, lo que ayuda a identificar patrones en la propagación y gestión de COVID-19.</w:t>
      </w:r>
    </w:p>
    <w:p w14:paraId="17C83993" w14:textId="77777777" w:rsidR="00E674AD" w:rsidRDefault="00E674AD" w:rsidP="00E674AD"/>
    <w:p w14:paraId="27B12E5F" w14:textId="037BA1A0" w:rsidR="00E674AD" w:rsidRDefault="00E674AD" w:rsidP="00E674AD">
      <w:r>
        <w:rPr>
          <w:noProof/>
        </w:rPr>
        <w:drawing>
          <wp:inline distT="0" distB="0" distL="0" distR="0" wp14:anchorId="0CC0E923" wp14:editId="6678B53E">
            <wp:extent cx="5943600" cy="3852545"/>
            <wp:effectExtent l="0" t="0" r="0" b="0"/>
            <wp:docPr id="157105754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F080" w14:textId="7964A02E" w:rsidR="00E674AD" w:rsidRDefault="00E674AD" w:rsidP="00E674AD">
      <w:r>
        <w:rPr>
          <w:noProof/>
        </w:rPr>
        <w:lastRenderedPageBreak/>
        <w:drawing>
          <wp:inline distT="0" distB="0" distL="0" distR="0" wp14:anchorId="1B76E58C" wp14:editId="2C72FE23">
            <wp:extent cx="5943600" cy="3783965"/>
            <wp:effectExtent l="0" t="0" r="0" b="6985"/>
            <wp:docPr id="141364058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8195" w14:textId="34EB5635" w:rsidR="00E674AD" w:rsidRDefault="00E674AD" w:rsidP="00E674AD">
      <w:r>
        <w:rPr>
          <w:noProof/>
        </w:rPr>
        <w:drawing>
          <wp:inline distT="0" distB="0" distL="0" distR="0" wp14:anchorId="739AEE4A" wp14:editId="513DAC30">
            <wp:extent cx="5943600" cy="4243070"/>
            <wp:effectExtent l="0" t="0" r="0" b="5080"/>
            <wp:docPr id="25408527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4AD" w:rsidSect="0017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1377"/>
    <w:multiLevelType w:val="hybridMultilevel"/>
    <w:tmpl w:val="4CB06F8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34A2A"/>
    <w:multiLevelType w:val="hybridMultilevel"/>
    <w:tmpl w:val="DC0A1C6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841DC"/>
    <w:multiLevelType w:val="hybridMultilevel"/>
    <w:tmpl w:val="92F42E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25C14"/>
    <w:multiLevelType w:val="hybridMultilevel"/>
    <w:tmpl w:val="B3F2D612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0145030">
    <w:abstractNumId w:val="0"/>
  </w:num>
  <w:num w:numId="2" w16cid:durableId="472602765">
    <w:abstractNumId w:val="3"/>
  </w:num>
  <w:num w:numId="3" w16cid:durableId="378405891">
    <w:abstractNumId w:val="1"/>
  </w:num>
  <w:num w:numId="4" w16cid:durableId="1735346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24"/>
    <w:rsid w:val="000D4CAA"/>
    <w:rsid w:val="001720E3"/>
    <w:rsid w:val="002F5424"/>
    <w:rsid w:val="004749B9"/>
    <w:rsid w:val="004B4156"/>
    <w:rsid w:val="00833E0C"/>
    <w:rsid w:val="008A6133"/>
    <w:rsid w:val="00943841"/>
    <w:rsid w:val="009B33E5"/>
    <w:rsid w:val="00DC5CC4"/>
    <w:rsid w:val="00E6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42A7"/>
  <w15:chartTrackingRefBased/>
  <w15:docId w15:val="{210412EC-664D-44B3-AA67-F480C4DA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4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747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Alvarenga Guevara</dc:creator>
  <cp:keywords/>
  <dc:description/>
  <cp:lastModifiedBy>Luis Enrique Alvarenga Guevara</cp:lastModifiedBy>
  <cp:revision>2</cp:revision>
  <dcterms:created xsi:type="dcterms:W3CDTF">2024-07-25T03:27:00Z</dcterms:created>
  <dcterms:modified xsi:type="dcterms:W3CDTF">2024-07-25T04:28:00Z</dcterms:modified>
</cp:coreProperties>
</file>