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Khái luận về Triết học và Triết học Mác - Lênin</w:t>
      </w:r>
    </w:p>
    <w:p>
      <w:r>
        <w:t>Tác giả: Bộ môn Triết học</w:t>
      </w:r>
    </w:p>
    <w:p>
      <w:pPr>
        <w:pStyle w:val="Heading1"/>
      </w:pPr>
      <w:r>
        <w:t>1. Triết học và vấn đề cơ bản của triết học</w:t>
      </w:r>
    </w:p>
    <w:p>
      <w:r>
        <w:t>Triết học là hệ thống tri thức lý luận chung nhất.</w:t>
      </w:r>
    </w:p>
    <w:p>
      <w:pPr>
        <w:pStyle w:val="ListBullet"/>
      </w:pPr>
      <w:r>
        <w:t>Nguồn gốc nhận thức và xã hội</w:t>
      </w:r>
    </w:p>
    <w:p>
      <w:pPr>
        <w:pStyle w:val="ListBullet"/>
      </w:pPr>
      <w:r>
        <w:t>Mối quan hệ giữa tư duy và tồn tại</w:t>
      </w:r>
    </w:p>
    <w:p>
      <w:pPr>
        <w:pStyle w:val="ListBullet"/>
      </w:pPr>
      <w:r>
        <w:t>Sự đối lập duy vật và duy tâm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phái</w:t>
            </w:r>
          </w:p>
        </w:tc>
        <w:tc>
          <w:tcPr>
            <w:tcW w:type="dxa" w:w="4320"/>
          </w:tcPr>
          <w:p>
            <w:r>
              <w:t>Quan điểm</w:t>
            </w:r>
          </w:p>
        </w:tc>
      </w:tr>
      <w:tr>
        <w:tc>
          <w:tcPr>
            <w:tcW w:type="dxa" w:w="4320"/>
          </w:tcPr>
          <w:p>
            <w:r>
              <w:t>Duy vật</w:t>
            </w:r>
          </w:p>
        </w:tc>
        <w:tc>
          <w:tcPr>
            <w:tcW w:type="dxa" w:w="4320"/>
          </w:tcPr>
          <w:p>
            <w:r>
              <w:t>Vật chất quyết định ý thức</w:t>
            </w:r>
          </w:p>
        </w:tc>
      </w:tr>
    </w:tbl>
    <w:p>
      <w:r>
        <w:t>Ghi chú: Giới thiệu hai mặt của vấn đề cơ bản.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