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Issues:</w:t>
      </w:r>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Reservations will not be deleted after a certain period of time. Excessive storage could lead to performance issues when looking up reservations or creating new ones eventually, but this will not be an issue in the imminent future. </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There are no preset rooms; facility owners will have to create all rooms manually and add attributes individually.</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Only admins can see maintenance requests for a facility, but a maintenance group would allow better separation of responsibilities to manage the facility.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The forgot password function currently uses a security question, but it would be better to send an email with a link to reset the password.</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User registration doesn’t verify your email address.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User registration doesn’t use a captcha to verify that the user is a human.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The password can be at least one character with no requirements for special characters or capitalization.</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A user can select a state in the United States even when a different country is selected</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An account can be logged in from two different sources and do actions within their sessions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fullCalendar api on the buildings page breaks when page is loaded after adding a new facility</w:t>
      </w:r>
    </w:p>
    <w:p w:rsidR="00000000" w:rsidDel="00000000" w:rsidP="00000000" w:rsidRDefault="00000000" w:rsidRPr="00000000" w14:paraId="0000000C">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