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4760" w14:textId="77777777" w:rsidR="00C0673F" w:rsidRDefault="00A81DC7">
      <w:pPr>
        <w:pStyle w:val="Standard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[K1]Krommenie/ca 1715[x1]</w:t>
      </w:r>
    </w:p>
    <w:p w14:paraId="173EE4A7" w14:textId="77777777" w:rsidR="00C0673F" w:rsidRDefault="00A81DC7">
      <w:pPr>
        <w:pStyle w:val="Standard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  <w:sz w:val="24"/>
          <w:szCs w:val="24"/>
        </w:rPr>
        <w:t>Oud-Katholieke Kerk</w:t>
      </w: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[x2]</w:t>
      </w:r>
    </w:p>
    <w:p w14:paraId="62D685AD" w14:textId="77777777" w:rsidR="00C0673F" w:rsidRDefault="00C0673F">
      <w:pPr>
        <w:pStyle w:val="Standard"/>
      </w:pPr>
    </w:p>
    <w:p w14:paraId="5AD321BA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Johannes Duyschot? ca 1715</w:t>
      </w:r>
    </w:p>
    <w:p w14:paraId="70C1BB47" w14:textId="77777777" w:rsidR="00C0673F" w:rsidRDefault="00C0673F">
      <w:pPr>
        <w:pStyle w:val="Standard"/>
        <w:ind w:left="260" w:right="260"/>
      </w:pPr>
    </w:p>
    <w:p w14:paraId="533A836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i/>
          <w:iCs/>
          <w:color w:val="000000"/>
          <w:sz w:val="24"/>
          <w:szCs w:val="24"/>
        </w:rPr>
        <w:t>Schuurkerk, gelegen achter woonhuis. Ontstaan door verbouwing van boerderij uit ca 1700. Driebeukige ruimte met houten zuilen en in midden</w:t>
      </w:r>
      <w:r>
        <w:rPr>
          <w:rFonts w:ascii="Courier 10cpi" w:eastAsia="Courier 10cpi" w:hAnsi="Courier 10cpi" w:cs="Courier 10cpi"/>
          <w:i/>
          <w:iCs/>
          <w:color w:val="000000"/>
          <w:sz w:val="24"/>
          <w:szCs w:val="24"/>
        </w:rPr>
        <w:softHyphen/>
        <w:t>beuk houten tongewelf. Altaar en communiebank begin 18e eeuw.</w:t>
      </w:r>
    </w:p>
    <w:p w14:paraId="06D02D49" w14:textId="77777777" w:rsidR="00C0673F" w:rsidRDefault="00C0673F">
      <w:pPr>
        <w:pStyle w:val="Standard"/>
        <w:ind w:left="260" w:right="260"/>
      </w:pPr>
    </w:p>
    <w:p w14:paraId="7B6610B3" w14:textId="7852FFE2" w:rsidR="00C0673F" w:rsidRDefault="00A81DC7">
      <w:pPr>
        <w:pStyle w:val="Standard"/>
        <w:ind w:left="545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[T2]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Kunsthistor</w:t>
      </w:r>
      <w:r w:rsidR="00682997">
        <w:rPr>
          <w:rFonts w:ascii="Courier 10cpi" w:eastAsia="Courier 10cpi" w:hAnsi="Courier 10cpi" w:cs="Courier 10cpi"/>
          <w:color w:val="000000"/>
          <w:sz w:val="24"/>
          <w:szCs w:val="24"/>
          <w:lang w:val="en-US"/>
        </w:rPr>
        <w:t>i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sche aspecten</w:t>
      </w:r>
    </w:p>
    <w:p w14:paraId="159B924C" w14:textId="77777777" w:rsidR="00C0673F" w:rsidRDefault="00A81DC7">
      <w:pPr>
        <w:pStyle w:val="Standard"/>
        <w:ind w:left="545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De vormgeving van de kas sluit een toeschrijving aan Johan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softHyphen/>
        <w:t>nes Duyschot niet uit. De hoofdindeling van het front en de door snijwerk gevormde schuine afsluiting van de bovenste tussenvelden vertonen enige overeenkomst met de Duyschot-orgels in Hendrik-Ido-Ambacht, Middelburg, Lutherse Kerk en Delft, Oud-Katholieke kerk. De zwaar geprofileerde torenbekroningen zijn bij de genoem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softHyphen/>
        <w:t>de instrumenten niet te vinden, maar zouden uit de late bouwtijd verklaard kunnen worden. De rococo-soffiet moet van na 1750 dateren. Op het orgel bevinden zich drie beelden, van links naar rechts: de heiligen Nicolaas, Agnes en Willibrordus.</w:t>
      </w:r>
    </w:p>
    <w:p w14:paraId="0C483D69" w14:textId="77777777" w:rsidR="00C0673F" w:rsidRDefault="00C0673F">
      <w:pPr>
        <w:pStyle w:val="Standard"/>
        <w:ind w:left="545" w:right="260"/>
      </w:pPr>
    </w:p>
    <w:p w14:paraId="4A68A9C7" w14:textId="77777777" w:rsidR="00C0673F" w:rsidRDefault="00A81DC7">
      <w:pPr>
        <w:pStyle w:val="Standard"/>
        <w:ind w:left="545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Monumentnummer 39954, orgelnummer 816</w:t>
      </w:r>
    </w:p>
    <w:p w14:paraId="2C461FD2" w14:textId="77777777" w:rsidR="00C0673F" w:rsidRDefault="00C0673F">
      <w:pPr>
        <w:pStyle w:val="Standard"/>
        <w:ind w:left="545" w:right="260"/>
      </w:pPr>
    </w:p>
    <w:p w14:paraId="193F7DAE" w14:textId="77777777" w:rsidR="00C0673F" w:rsidRDefault="00A81DC7">
      <w:pPr>
        <w:pStyle w:val="Standard"/>
        <w:ind w:left="545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  <w:sz w:val="24"/>
          <w:szCs w:val="24"/>
        </w:rPr>
        <w:t>Historische gegevens</w:t>
      </w: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[x2]</w:t>
      </w:r>
    </w:p>
    <w:p w14:paraId="33C52D24" w14:textId="77777777" w:rsidR="00C0673F" w:rsidRDefault="00C0673F">
      <w:pPr>
        <w:pStyle w:val="Standard"/>
        <w:ind w:left="545" w:right="260"/>
      </w:pPr>
    </w:p>
    <w:p w14:paraId="2E618902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Bouwers</w:t>
      </w:r>
    </w:p>
    <w:p w14:paraId="6ED1DDC7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1. Johannes Duyschot?</w:t>
      </w:r>
    </w:p>
    <w:p w14:paraId="04360326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2. H. Knipscheer sr en jr</w:t>
      </w:r>
    </w:p>
    <w:p w14:paraId="272372F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3. H.W. Flentrop</w:t>
      </w:r>
    </w:p>
    <w:p w14:paraId="15FF37D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4. onbekend</w:t>
      </w:r>
    </w:p>
    <w:p w14:paraId="7B0EFEF6" w14:textId="77777777" w:rsidR="00C0673F" w:rsidRDefault="00C0673F">
      <w:pPr>
        <w:pStyle w:val="Standard"/>
        <w:ind w:left="260" w:right="260"/>
      </w:pPr>
    </w:p>
    <w:p w14:paraId="09580FD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Jaren van oplevering</w:t>
      </w:r>
    </w:p>
    <w:p w14:paraId="12656BBA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1. ca 1715</w:t>
      </w:r>
    </w:p>
    <w:p w14:paraId="57E27B43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2. 1827</w:t>
      </w:r>
    </w:p>
    <w:p w14:paraId="269F9820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3. 1933</w:t>
      </w:r>
    </w:p>
    <w:p w14:paraId="539BD4D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4. 1977</w:t>
      </w:r>
    </w:p>
    <w:p w14:paraId="1C415EC7" w14:textId="77777777" w:rsidR="00C0673F" w:rsidRDefault="00C0673F">
      <w:pPr>
        <w:pStyle w:val="Standard"/>
        <w:ind w:left="260" w:right="260"/>
      </w:pPr>
    </w:p>
    <w:p w14:paraId="12DDB8E2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H. Knipscheer sr en jr 1827</w:t>
      </w:r>
    </w:p>
    <w:p w14:paraId="5F0A7F9B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30CE3E6B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orgel afkomstig uit R.K. Kerk te Langeraar geplaatst, gebouwd in 1719, al of niet achter het oude front</w:t>
      </w:r>
    </w:p>
    <w:p w14:paraId="733D51E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127D071B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twee bestaande balgen opnieuw gebruikt</w:t>
      </w:r>
    </w:p>
    <w:p w14:paraId="6186632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7B96F940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beelden op het orgel aangebracht?</w:t>
      </w:r>
    </w:p>
    <w:p w14:paraId="69E518E3" w14:textId="77777777" w:rsidR="00C0673F" w:rsidRDefault="00C0673F">
      <w:pPr>
        <w:pStyle w:val="Standard"/>
        <w:ind w:left="260" w:right="260"/>
      </w:pPr>
    </w:p>
    <w:p w14:paraId="14F8BA6C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Dispositie in 1827</w:t>
      </w:r>
    </w:p>
    <w:p w14:paraId="251481AD" w14:textId="77777777" w:rsidR="00C0673F" w:rsidRDefault="00C0673F">
      <w:pPr>
        <w:pStyle w:val="Standard"/>
        <w:ind w:left="260" w:right="260"/>
      </w:pPr>
    </w:p>
    <w:p w14:paraId="1EBF856B" w14:textId="4CB0ED04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[T4]</w:t>
      </w:r>
      <w:r w:rsidR="00E67131" w:rsidRPr="00E67131"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@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Manuaal</w:t>
      </w:r>
    </w:p>
    <w:p w14:paraId="346E1CDC" w14:textId="77777777" w:rsidR="00C0673F" w:rsidRDefault="00C0673F">
      <w:pPr>
        <w:pStyle w:val="Standard"/>
        <w:ind w:left="1111" w:right="260"/>
      </w:pPr>
    </w:p>
    <w:p w14:paraId="7F55E63B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Holpijp B/D</w:t>
      </w:r>
    </w:p>
    <w:p w14:paraId="1D6E5C1F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Prestant D</w:t>
      </w:r>
    </w:p>
    <w:p w14:paraId="2DD0E050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Prestant B/D</w:t>
      </w:r>
    </w:p>
    <w:p w14:paraId="413A28BE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Fluit B/D</w:t>
      </w:r>
    </w:p>
    <w:p w14:paraId="6F39C608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Octaaf B/D</w:t>
      </w:r>
    </w:p>
    <w:p w14:paraId="166F05EA" w14:textId="3A81858D" w:rsidR="00C0673F" w:rsidRPr="00E67131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Quint B</w:t>
      </w:r>
      <w:r w:rsidR="00E67131" w:rsidRPr="00E67131">
        <w:rPr>
          <w:rFonts w:ascii="Courier 10cpi" w:eastAsia="Courier 10cpi" w:hAnsi="Courier 10cpi" w:cs="Courier 10cpi"/>
          <w:color w:val="000000"/>
          <w:sz w:val="24"/>
          <w:szCs w:val="24"/>
        </w:rPr>
        <w:t>@</w:t>
      </w:r>
    </w:p>
    <w:p w14:paraId="3C428FCA" w14:textId="4852D89A" w:rsidR="00C0673F" w:rsidRDefault="00E67131">
      <w:pPr>
        <w:pStyle w:val="Standard"/>
        <w:ind w:left="1111" w:right="260"/>
        <w:rPr>
          <w:lang w:val="en-US"/>
        </w:rPr>
      </w:pPr>
      <w:r>
        <w:rPr>
          <w:lang w:val="en-US"/>
        </w:rPr>
        <w:t>@</w:t>
      </w:r>
    </w:p>
    <w:p w14:paraId="2D4C5ED1" w14:textId="77777777" w:rsidR="00E67131" w:rsidRPr="00E67131" w:rsidRDefault="00E67131">
      <w:pPr>
        <w:pStyle w:val="Standard"/>
        <w:ind w:left="1111" w:right="260"/>
        <w:rPr>
          <w:lang w:val="en-US"/>
        </w:rPr>
      </w:pPr>
    </w:p>
    <w:p w14:paraId="6093118C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0515078C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12CF379D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32954CE4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24B38BEA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2'</w:t>
      </w:r>
    </w:p>
    <w:p w14:paraId="170B559E" w14:textId="65DE4DB7" w:rsidR="00C0673F" w:rsidRPr="00E67131" w:rsidRDefault="00A81DC7">
      <w:pPr>
        <w:pStyle w:val="Standard"/>
        <w:ind w:left="1111" w:right="260"/>
        <w:rPr>
          <w:lang w:val="en-US"/>
        </w:r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1 1/2'</w:t>
      </w:r>
      <w:r w:rsidR="00E67131">
        <w:rPr>
          <w:rFonts w:ascii="Courier 10cpi" w:eastAsia="Courier 10cpi" w:hAnsi="Courier 10cpi" w:cs="Courier 10cpi"/>
          <w:color w:val="000000"/>
          <w:sz w:val="24"/>
          <w:szCs w:val="24"/>
          <w:lang w:val="en-US"/>
        </w:rPr>
        <w:t>@</w:t>
      </w:r>
    </w:p>
    <w:p w14:paraId="28E05E6C" w14:textId="77777777" w:rsidR="00C0673F" w:rsidRDefault="00C0673F">
      <w:pPr>
        <w:pStyle w:val="Standard"/>
        <w:ind w:left="1111" w:right="260"/>
      </w:pPr>
    </w:p>
    <w:p w14:paraId="42932EC6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Flaes en Brünjes 1852</w:t>
      </w:r>
    </w:p>
    <w:p w14:paraId="23763E18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0A38E23C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Quint 1 1/2' → Viola di Gamba 8'</w:t>
      </w:r>
    </w:p>
    <w:p w14:paraId="434BBE29" w14:textId="77777777" w:rsidR="00C0673F" w:rsidRDefault="00C0673F">
      <w:pPr>
        <w:pStyle w:val="Standard"/>
        <w:ind w:left="260" w:right="260"/>
      </w:pPr>
    </w:p>
    <w:p w14:paraId="4BCB04BC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H.W. Flentrop 1933</w:t>
      </w:r>
    </w:p>
    <w:p w14:paraId="468171F8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6EFE107B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frontpijpen vervangen</w:t>
      </w:r>
    </w:p>
    <w:p w14:paraId="23CB3346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457AD02F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lade verplaatst</w:t>
      </w:r>
    </w:p>
    <w:p w14:paraId="1391670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4C2B3E9B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nieuwe registers geplaatst: Gamba D 8', Celeste D 8', Fluit 2'; Hol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softHyphen/>
        <w:t>pijp 8' en Fluit 4' bleven gehand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softHyphen/>
        <w:t>haafd</w:t>
      </w:r>
    </w:p>
    <w:p w14:paraId="320D94D4" w14:textId="77777777" w:rsidR="00C0673F" w:rsidRDefault="00C0673F">
      <w:pPr>
        <w:pStyle w:val="Standard"/>
        <w:ind w:left="260" w:right="260"/>
      </w:pPr>
    </w:p>
    <w:p w14:paraId="4E135EA8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Dispositie in 1933</w:t>
      </w:r>
    </w:p>
    <w:p w14:paraId="58234479" w14:textId="77777777" w:rsidR="00C0673F" w:rsidRDefault="00C0673F">
      <w:pPr>
        <w:pStyle w:val="Standard"/>
        <w:ind w:left="260" w:right="260"/>
      </w:pPr>
    </w:p>
    <w:p w14:paraId="5C06AFF2" w14:textId="1C5864DC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[T4]</w:t>
      </w:r>
      <w:r w:rsidR="00E67131">
        <w:rPr>
          <w:rFonts w:ascii="Courier 10cpi" w:eastAsia="Courier 10cpi" w:hAnsi="Courier 10cpi" w:cs="Courier 10cpi"/>
          <w:b/>
          <w:bCs/>
          <w:color w:val="000000"/>
          <w:sz w:val="24"/>
          <w:szCs w:val="24"/>
          <w:lang w:val="en-US"/>
        </w:rPr>
        <w:t>@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Manuaal</w:t>
      </w:r>
    </w:p>
    <w:p w14:paraId="0798B687" w14:textId="77777777" w:rsidR="00C0673F" w:rsidRDefault="00C0673F">
      <w:pPr>
        <w:pStyle w:val="Standard"/>
        <w:ind w:left="1111" w:right="260"/>
      </w:pPr>
    </w:p>
    <w:p w14:paraId="089F03D5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Holpijp B/D</w:t>
      </w:r>
    </w:p>
    <w:p w14:paraId="5762AAFD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Gamba D</w:t>
      </w:r>
    </w:p>
    <w:p w14:paraId="7F4696FB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Celeste D</w:t>
      </w:r>
    </w:p>
    <w:p w14:paraId="521B0AAD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Prestant B/D</w:t>
      </w:r>
    </w:p>
    <w:p w14:paraId="72757379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Fluit B/D</w:t>
      </w:r>
    </w:p>
    <w:p w14:paraId="1EDBE6FD" w14:textId="06221DAC" w:rsidR="00C0673F" w:rsidRPr="00682997" w:rsidRDefault="00A81DC7">
      <w:pPr>
        <w:pStyle w:val="Standard"/>
        <w:ind w:left="1111" w:right="260"/>
        <w:rPr>
          <w:lang w:val="nl-NL"/>
        </w:r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Fluit B</w:t>
      </w:r>
      <w:r w:rsidR="00E67131" w:rsidRPr="00682997">
        <w:rPr>
          <w:rFonts w:ascii="Courier 10cpi" w:eastAsia="Courier 10cpi" w:hAnsi="Courier 10cpi" w:cs="Courier 10cpi"/>
          <w:color w:val="000000"/>
          <w:sz w:val="24"/>
          <w:szCs w:val="24"/>
          <w:lang w:val="nl-NL"/>
        </w:rPr>
        <w:t>@</w:t>
      </w:r>
    </w:p>
    <w:p w14:paraId="75393F77" w14:textId="524D7DC9" w:rsidR="00C0673F" w:rsidRPr="00682997" w:rsidRDefault="00E67131">
      <w:pPr>
        <w:pStyle w:val="Standard"/>
        <w:ind w:left="1111" w:right="260"/>
        <w:rPr>
          <w:lang w:val="nl-NL"/>
        </w:rPr>
      </w:pPr>
      <w:r w:rsidRPr="00682997">
        <w:rPr>
          <w:lang w:val="nl-NL"/>
        </w:rPr>
        <w:t>@</w:t>
      </w:r>
    </w:p>
    <w:p w14:paraId="01DF7A84" w14:textId="77777777" w:rsidR="00E67131" w:rsidRPr="00682997" w:rsidRDefault="00E67131">
      <w:pPr>
        <w:pStyle w:val="Standard"/>
        <w:ind w:left="1111" w:right="260"/>
        <w:rPr>
          <w:lang w:val="nl-NL"/>
        </w:rPr>
      </w:pPr>
    </w:p>
    <w:p w14:paraId="3044A3FB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54538F73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24B3229E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lastRenderedPageBreak/>
        <w:t>8'</w:t>
      </w:r>
    </w:p>
    <w:p w14:paraId="0743DA33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51167EFD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67128D0B" w14:textId="756BBC0B" w:rsidR="00C0673F" w:rsidRPr="00682997" w:rsidRDefault="00A81DC7">
      <w:pPr>
        <w:pStyle w:val="Standard"/>
        <w:ind w:left="1111" w:right="260"/>
        <w:rPr>
          <w:lang w:val="nl-NL"/>
        </w:r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2'</w:t>
      </w:r>
      <w:r w:rsidR="00E67131" w:rsidRPr="00682997">
        <w:rPr>
          <w:rFonts w:ascii="Courier 10cpi" w:eastAsia="Courier 10cpi" w:hAnsi="Courier 10cpi" w:cs="Courier 10cpi"/>
          <w:color w:val="000000"/>
          <w:sz w:val="24"/>
          <w:szCs w:val="24"/>
          <w:lang w:val="nl-NL"/>
        </w:rPr>
        <w:t>@</w:t>
      </w:r>
    </w:p>
    <w:p w14:paraId="4DB9D6BB" w14:textId="77777777" w:rsidR="00C0673F" w:rsidRDefault="00C0673F">
      <w:pPr>
        <w:pStyle w:val="Standard"/>
        <w:ind w:left="1111" w:right="260"/>
      </w:pPr>
    </w:p>
    <w:p w14:paraId="6D6FA7D0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1977</w:t>
      </w:r>
    </w:p>
    <w:p w14:paraId="6F85B545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778808A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binnenwerk verwijderd</w:t>
      </w:r>
    </w:p>
    <w:p w14:paraId="38C1FBB7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.</w:t>
      </w:r>
    </w:p>
    <w:p w14:paraId="04E262B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ander binnenwerk geplaatst, afkomstig van een 18e-eeuws kabi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softHyphen/>
        <w:t>netorgel, in bestaande kas</w:t>
      </w:r>
    </w:p>
    <w:p w14:paraId="7BF2BC88" w14:textId="77777777" w:rsidR="00C0673F" w:rsidRDefault="00C0673F">
      <w:pPr>
        <w:pStyle w:val="Standard"/>
        <w:ind w:left="260" w:right="260"/>
      </w:pPr>
    </w:p>
    <w:p w14:paraId="2A379F60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  <w:sz w:val="24"/>
          <w:szCs w:val="24"/>
        </w:rPr>
        <w:t>Technische gegevens</w:t>
      </w:r>
    </w:p>
    <w:p w14:paraId="32E9E3FE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x2]</w:t>
      </w:r>
    </w:p>
    <w:p w14:paraId="51DC5101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(vóór de restauratie)</w:t>
      </w:r>
    </w:p>
    <w:p w14:paraId="0C1C6304" w14:textId="77777777" w:rsidR="00C0673F" w:rsidRDefault="00C0673F">
      <w:pPr>
        <w:pStyle w:val="Standard"/>
        <w:ind w:left="260" w:right="260"/>
      </w:pPr>
    </w:p>
    <w:p w14:paraId="380F4727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Werkindeling</w:t>
      </w:r>
    </w:p>
    <w:p w14:paraId="3D296D92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manuaal, aangehangen pedaal</w:t>
      </w:r>
    </w:p>
    <w:p w14:paraId="795D6209" w14:textId="77777777" w:rsidR="00C0673F" w:rsidRDefault="00C0673F">
      <w:pPr>
        <w:pStyle w:val="Standard"/>
        <w:ind w:left="260" w:right="260"/>
      </w:pPr>
    </w:p>
    <w:p w14:paraId="0E86F7F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Dispositie</w:t>
      </w:r>
    </w:p>
    <w:p w14:paraId="6AE3B2F1" w14:textId="77777777" w:rsidR="00C0673F" w:rsidRDefault="00C0673F">
      <w:pPr>
        <w:pStyle w:val="Standard"/>
        <w:ind w:left="260" w:right="260"/>
      </w:pPr>
    </w:p>
    <w:p w14:paraId="19EABB2C" w14:textId="59BCD7E0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[T4]</w:t>
      </w:r>
      <w:r w:rsidR="00E67131" w:rsidRPr="00682997">
        <w:rPr>
          <w:rFonts w:ascii="Courier 10cpi" w:eastAsia="Courier 10cpi" w:hAnsi="Courier 10cpi" w:cs="Courier 10cpi"/>
          <w:b/>
          <w:bCs/>
          <w:color w:val="000000"/>
          <w:sz w:val="24"/>
          <w:szCs w:val="24"/>
          <w:lang w:val="nl-NL"/>
        </w:rPr>
        <w:t>@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Manuaal</w:t>
      </w:r>
      <w:r w:rsidR="00E67131" w:rsidRPr="00682997">
        <w:rPr>
          <w:lang w:val="nl-NL"/>
        </w:rPr>
        <w:t xml:space="preserve"> 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Bas</w:t>
      </w:r>
    </w:p>
    <w:p w14:paraId="5D1B4D91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5 stemmen</w:t>
      </w:r>
    </w:p>
    <w:p w14:paraId="7B7B918F" w14:textId="77777777" w:rsidR="00C0673F" w:rsidRDefault="00C0673F">
      <w:pPr>
        <w:pStyle w:val="Standard"/>
        <w:ind w:left="1111" w:right="260"/>
      </w:pPr>
    </w:p>
    <w:p w14:paraId="4E8C0BA4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Holpijp</w:t>
      </w:r>
    </w:p>
    <w:p w14:paraId="6DA7739C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Prestant</w:t>
      </w:r>
    </w:p>
    <w:p w14:paraId="4C0B0A21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Fluit</w:t>
      </w:r>
    </w:p>
    <w:p w14:paraId="5E90618A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Octaaf</w:t>
      </w:r>
    </w:p>
    <w:p w14:paraId="63FAC4E5" w14:textId="26EDC800" w:rsidR="00C0673F" w:rsidRPr="00682997" w:rsidRDefault="00A81DC7">
      <w:pPr>
        <w:pStyle w:val="Standard"/>
        <w:ind w:left="1111" w:right="260"/>
        <w:rPr>
          <w:rFonts w:ascii="Courier 10cpi" w:eastAsia="Courier 10cpi" w:hAnsi="Courier 10cpi" w:cs="Courier 10cpi"/>
          <w:color w:val="000000"/>
          <w:sz w:val="24"/>
          <w:szCs w:val="24"/>
        </w:r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Octaaf</w:t>
      </w:r>
      <w:r w:rsidR="00E67131" w:rsidRPr="00682997">
        <w:rPr>
          <w:rFonts w:ascii="Courier 10cpi" w:eastAsia="Courier 10cpi" w:hAnsi="Courier 10cpi" w:cs="Courier 10cpi"/>
          <w:color w:val="000000"/>
          <w:sz w:val="24"/>
          <w:szCs w:val="24"/>
        </w:rPr>
        <w:t>@</w:t>
      </w:r>
    </w:p>
    <w:p w14:paraId="0B1E71CF" w14:textId="7A30B514" w:rsidR="00E67131" w:rsidRPr="00682997" w:rsidRDefault="00E67131">
      <w:pPr>
        <w:pStyle w:val="Standard"/>
        <w:ind w:left="1111" w:right="260"/>
        <w:rPr>
          <w:rFonts w:ascii="Courier 10cpi" w:eastAsia="Courier 10cpi" w:hAnsi="Courier 10cpi" w:cs="Courier 10cpi"/>
          <w:color w:val="000000"/>
          <w:sz w:val="24"/>
          <w:szCs w:val="24"/>
        </w:rPr>
      </w:pPr>
      <w:r w:rsidRPr="00682997">
        <w:rPr>
          <w:rFonts w:ascii="Courier 10cpi" w:eastAsia="Courier 10cpi" w:hAnsi="Courier 10cpi" w:cs="Courier 10cpi"/>
          <w:color w:val="000000"/>
          <w:sz w:val="24"/>
          <w:szCs w:val="24"/>
        </w:rPr>
        <w:t>@</w:t>
      </w:r>
    </w:p>
    <w:p w14:paraId="399FB168" w14:textId="77777777" w:rsidR="00E67131" w:rsidRPr="00682997" w:rsidRDefault="00E67131">
      <w:pPr>
        <w:pStyle w:val="Standard"/>
        <w:ind w:left="1111" w:right="260"/>
      </w:pPr>
    </w:p>
    <w:p w14:paraId="26607643" w14:textId="77777777" w:rsidR="00C0673F" w:rsidRDefault="00C0673F">
      <w:pPr>
        <w:pStyle w:val="Standard"/>
        <w:ind w:left="1111" w:right="260"/>
      </w:pPr>
    </w:p>
    <w:p w14:paraId="5DA59F7C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35E44C43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124E759E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6702E89E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2'</w:t>
      </w:r>
    </w:p>
    <w:p w14:paraId="75A2D468" w14:textId="3E65C769" w:rsidR="00C0673F" w:rsidRPr="00682997" w:rsidRDefault="00A81DC7">
      <w:pPr>
        <w:pStyle w:val="Standard"/>
        <w:ind w:left="1111" w:right="260"/>
        <w:rPr>
          <w:lang w:val="nl-NL"/>
        </w:r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1'</w:t>
      </w:r>
      <w:r w:rsidR="00E67131" w:rsidRPr="00682997">
        <w:rPr>
          <w:rFonts w:ascii="Courier 10cpi" w:eastAsia="Courier 10cpi" w:hAnsi="Courier 10cpi" w:cs="Courier 10cpi"/>
          <w:color w:val="000000"/>
          <w:sz w:val="24"/>
          <w:szCs w:val="24"/>
          <w:lang w:val="nl-NL"/>
        </w:rPr>
        <w:t>@</w:t>
      </w:r>
    </w:p>
    <w:p w14:paraId="02BB7FEA" w14:textId="77777777" w:rsidR="00C0673F" w:rsidRDefault="00C0673F">
      <w:pPr>
        <w:pStyle w:val="Standard"/>
        <w:ind w:left="1111" w:right="260"/>
      </w:pPr>
    </w:p>
    <w:p w14:paraId="6E26D74C" w14:textId="619FDECF" w:rsidR="00C0673F" w:rsidRDefault="00E67131">
      <w:pPr>
        <w:pStyle w:val="Standard"/>
        <w:ind w:left="1111" w:right="260"/>
      </w:pPr>
      <w:r w:rsidRPr="00682997">
        <w:rPr>
          <w:rFonts w:ascii="Courier 10cpi" w:eastAsia="Courier 10cpi" w:hAnsi="Courier 10cpi" w:cs="Courier 10cpi"/>
          <w:color w:val="000000"/>
          <w:sz w:val="24"/>
          <w:szCs w:val="24"/>
          <w:lang w:val="nl-NL"/>
        </w:rPr>
        <w:t>@</w:t>
      </w:r>
      <w:r w:rsidR="00A81DC7">
        <w:rPr>
          <w:rFonts w:ascii="Courier 10cpi" w:eastAsia="Courier 10cpi" w:hAnsi="Courier 10cpi" w:cs="Courier 10cpi"/>
          <w:color w:val="000000"/>
          <w:sz w:val="24"/>
          <w:szCs w:val="24"/>
        </w:rPr>
        <w:t>Discant</w:t>
      </w:r>
    </w:p>
    <w:p w14:paraId="631E6DA7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6 stemmen</w:t>
      </w:r>
    </w:p>
    <w:p w14:paraId="216197EE" w14:textId="77777777" w:rsidR="00C0673F" w:rsidRDefault="00C0673F">
      <w:pPr>
        <w:pStyle w:val="Standard"/>
        <w:ind w:left="1111" w:right="260"/>
      </w:pPr>
    </w:p>
    <w:p w14:paraId="380E4D65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Holpijp</w:t>
      </w:r>
    </w:p>
    <w:p w14:paraId="17BBDD8E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Prestant*</w:t>
      </w:r>
    </w:p>
    <w:p w14:paraId="1D2F5D77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Prestant</w:t>
      </w:r>
    </w:p>
    <w:p w14:paraId="3D215FA5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Fluit</w:t>
      </w:r>
    </w:p>
    <w:p w14:paraId="445F065F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Quint</w:t>
      </w:r>
    </w:p>
    <w:p w14:paraId="0C8444A7" w14:textId="4D3398F8" w:rsidR="00C0673F" w:rsidRPr="00682997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Octaaf</w:t>
      </w:r>
      <w:r w:rsidR="00E67131" w:rsidRPr="00682997">
        <w:rPr>
          <w:rFonts w:ascii="Courier 10cpi" w:eastAsia="Courier 10cpi" w:hAnsi="Courier 10cpi" w:cs="Courier 10cpi"/>
          <w:color w:val="000000"/>
          <w:sz w:val="24"/>
          <w:szCs w:val="24"/>
        </w:rPr>
        <w:t>@</w:t>
      </w:r>
    </w:p>
    <w:p w14:paraId="494A81D9" w14:textId="06206AA5" w:rsidR="00C0673F" w:rsidRPr="00682997" w:rsidRDefault="00E67131">
      <w:pPr>
        <w:pStyle w:val="Standard"/>
        <w:ind w:left="1111" w:right="260"/>
      </w:pPr>
      <w:r w:rsidRPr="00682997">
        <w:lastRenderedPageBreak/>
        <w:t>@</w:t>
      </w:r>
    </w:p>
    <w:p w14:paraId="24A7FABC" w14:textId="5B4ABA03" w:rsidR="00E67131" w:rsidRPr="00682997" w:rsidRDefault="00E67131">
      <w:pPr>
        <w:pStyle w:val="Standard"/>
        <w:ind w:left="1111" w:right="260"/>
      </w:pPr>
    </w:p>
    <w:p w14:paraId="5CCEFC60" w14:textId="77777777" w:rsidR="00E67131" w:rsidRPr="00682997" w:rsidRDefault="00E67131">
      <w:pPr>
        <w:pStyle w:val="Standard"/>
        <w:ind w:left="1111" w:right="260"/>
      </w:pPr>
    </w:p>
    <w:p w14:paraId="4A64511A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0588222C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8'</w:t>
      </w:r>
    </w:p>
    <w:p w14:paraId="5293AFA6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06C65FF4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4'</w:t>
      </w:r>
    </w:p>
    <w:p w14:paraId="035BD5A8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3'</w:t>
      </w:r>
    </w:p>
    <w:p w14:paraId="7520427A" w14:textId="0BB4CF50" w:rsidR="00C0673F" w:rsidRPr="00682997" w:rsidRDefault="00A81DC7">
      <w:pPr>
        <w:pStyle w:val="Standard"/>
        <w:ind w:left="1111" w:right="260"/>
        <w:rPr>
          <w:lang w:val="nl-NL"/>
        </w:r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2'</w:t>
      </w:r>
      <w:r w:rsidR="00E67131" w:rsidRPr="00682997">
        <w:rPr>
          <w:rFonts w:ascii="Courier 10cpi" w:eastAsia="Courier 10cpi" w:hAnsi="Courier 10cpi" w:cs="Courier 10cpi"/>
          <w:color w:val="000000"/>
          <w:sz w:val="24"/>
          <w:szCs w:val="24"/>
          <w:lang w:val="nl-NL"/>
        </w:rPr>
        <w:t>@</w:t>
      </w:r>
    </w:p>
    <w:p w14:paraId="71A34837" w14:textId="77777777" w:rsidR="00C0673F" w:rsidRDefault="00C0673F">
      <w:pPr>
        <w:pStyle w:val="Standard"/>
        <w:ind w:left="1111" w:right="260"/>
      </w:pPr>
    </w:p>
    <w:p w14:paraId="2016569A" w14:textId="77777777" w:rsidR="00C0673F" w:rsidRDefault="00A81DC7">
      <w:pPr>
        <w:pStyle w:val="Standard"/>
        <w:ind w:left="1111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*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ab/>
        <w:t>lege plaats</w:t>
      </w:r>
    </w:p>
    <w:p w14:paraId="140505B9" w14:textId="77777777" w:rsidR="00C0673F" w:rsidRDefault="00C0673F">
      <w:pPr>
        <w:pStyle w:val="Standard"/>
        <w:ind w:left="1111" w:right="260"/>
      </w:pPr>
    </w:p>
    <w:p w14:paraId="1FB95164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Werktuiglijke registers</w:t>
      </w:r>
    </w:p>
    <w:p w14:paraId="2374323C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tremulant</w:t>
      </w:r>
    </w:p>
    <w:p w14:paraId="3BB7F785" w14:textId="77777777" w:rsidR="00C0673F" w:rsidRDefault="00C0673F">
      <w:pPr>
        <w:pStyle w:val="Standard"/>
        <w:ind w:left="260" w:right="260"/>
      </w:pPr>
    </w:p>
    <w:p w14:paraId="1B9F8D5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Toonhoogte</w:t>
      </w:r>
    </w:p>
    <w:p w14:paraId="52FE559D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a1 = 440 Hz</w:t>
      </w:r>
    </w:p>
    <w:p w14:paraId="0227506A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Temperatuur evenredig zwevend</w:t>
      </w:r>
    </w:p>
    <w:p w14:paraId="3944A6F5" w14:textId="77777777" w:rsidR="00C0673F" w:rsidRDefault="00C0673F">
      <w:pPr>
        <w:pStyle w:val="Standard"/>
        <w:ind w:left="260" w:right="260"/>
      </w:pPr>
    </w:p>
    <w:p w14:paraId="19C5E48B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Manuaalomvang C-f3</w:t>
      </w:r>
    </w:p>
    <w:p w14:paraId="57DD6350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Pedaalomvang C-f</w:t>
      </w:r>
    </w:p>
    <w:p w14:paraId="6337E474" w14:textId="77777777" w:rsidR="00C0673F" w:rsidRDefault="00C0673F">
      <w:pPr>
        <w:pStyle w:val="Standard"/>
        <w:ind w:left="260" w:right="260"/>
      </w:pPr>
    </w:p>
    <w:p w14:paraId="724421A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Windvoorziening 2 spaanbalgen</w:t>
      </w:r>
    </w:p>
    <w:p w14:paraId="3ACC4356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Winddruk 55 mm</w:t>
      </w:r>
    </w:p>
    <w:p w14:paraId="4940064B" w14:textId="77777777" w:rsidR="00C0673F" w:rsidRDefault="00C0673F">
      <w:pPr>
        <w:pStyle w:val="Standard"/>
        <w:ind w:left="260" w:right="260"/>
      </w:pPr>
    </w:p>
    <w:p w14:paraId="383E5319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Plaats klaviatuur achterzijde</w:t>
      </w:r>
    </w:p>
    <w:p w14:paraId="4A06B67B" w14:textId="77777777" w:rsidR="00C0673F" w:rsidRDefault="00C0673F">
      <w:pPr>
        <w:pStyle w:val="Standard"/>
        <w:ind w:left="260" w:right="260"/>
      </w:pPr>
    </w:p>
    <w:p w14:paraId="7E9362B3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  <w:sz w:val="24"/>
          <w:szCs w:val="24"/>
        </w:rPr>
        <w:t>Bijzonderheden</w:t>
      </w: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[x2]</w:t>
      </w:r>
    </w:p>
    <w:p w14:paraId="773E5AF2" w14:textId="77777777" w:rsidR="00C0673F" w:rsidRDefault="00A81DC7">
      <w:pPr>
        <w:pStyle w:val="Standard"/>
        <w:ind w:left="260" w:right="260"/>
      </w:pPr>
      <w:r>
        <w:rPr>
          <w:rFonts w:ascii="Courier 10cpi" w:eastAsia="Courier 10cpi" w:hAnsi="Courier 10cpi" w:cs="Courier 10cpi"/>
          <w:b/>
          <w:bCs/>
          <w:color w:val="000000"/>
          <w:sz w:val="24"/>
          <w:szCs w:val="24"/>
        </w:rPr>
        <w:t>[T1]</w:t>
      </w:r>
      <w:r>
        <w:rPr>
          <w:rFonts w:ascii="Courier 10cpi" w:eastAsia="Courier 10cpi" w:hAnsi="Courier 10cpi" w:cs="Courier 10cpi"/>
          <w:color w:val="000000"/>
          <w:sz w:val="24"/>
          <w:szCs w:val="24"/>
        </w:rPr>
        <w:t>De balgen zijn waarschijnlijk nog van Duyschot. Eén van de twee balgen doet dienst. De vouwbalg, onderin het</w:t>
      </w:r>
    </w:p>
    <w:p w14:paraId="2E33E1BD" w14:textId="77777777" w:rsidR="00C0673F" w:rsidRDefault="00A81DC7">
      <w:pPr>
        <w:pStyle w:val="Standard"/>
        <w:ind w:left="260" w:right="260"/>
        <w:sectPr w:rsidR="00C0673F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urier 10cpi" w:eastAsia="Courier 10cpi" w:hAnsi="Courier 10cpi" w:cs="Courier 10cpi"/>
          <w:color w:val="000000"/>
          <w:sz w:val="24"/>
          <w:szCs w:val="24"/>
        </w:rPr>
        <w:t>orgel, behorend bij het in 1977 geplaatste kabinetorgel, fungeert thans als schokbreker.</w:t>
      </w:r>
    </w:p>
    <w:p w14:paraId="1767D1D3" w14:textId="77777777" w:rsidR="00C0673F" w:rsidRDefault="00C0673F">
      <w:pPr>
        <w:pStyle w:val="Standard"/>
      </w:pPr>
    </w:p>
    <w:sectPr w:rsidR="00C0673F">
      <w:pgSz w:w="12240" w:h="15840"/>
      <w:pgMar w:top="1440" w:right="1700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A7A6" w14:textId="77777777" w:rsidR="00FB2626" w:rsidRDefault="00FB2626">
      <w:r>
        <w:separator/>
      </w:r>
    </w:p>
  </w:endnote>
  <w:endnote w:type="continuationSeparator" w:id="0">
    <w:p w14:paraId="41938039" w14:textId="77777777" w:rsidR="00FB2626" w:rsidRDefault="00FB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4F79" w14:textId="77777777" w:rsidR="00FB2626" w:rsidRDefault="00FB2626">
      <w:r>
        <w:rPr>
          <w:color w:val="000000"/>
        </w:rPr>
        <w:separator/>
      </w:r>
    </w:p>
  </w:footnote>
  <w:footnote w:type="continuationSeparator" w:id="0">
    <w:p w14:paraId="3655840E" w14:textId="77777777" w:rsidR="00FB2626" w:rsidRDefault="00FB2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3F"/>
    <w:rsid w:val="0060489E"/>
    <w:rsid w:val="00682997"/>
    <w:rsid w:val="00A81DC7"/>
    <w:rsid w:val="00C0673F"/>
    <w:rsid w:val="00E67131"/>
    <w:rsid w:val="00FB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5FC5B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en-NL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List">
    <w:name w:val="List"/>
    <w:basedOn w:val="TextBody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Caption">
    <w:name w:val="caption"/>
    <w:basedOn w:val="Standard"/>
  </w:style>
  <w:style w:type="paragraph" w:customStyle="1" w:styleId="Footnote">
    <w:name w:val="Footnote"/>
    <w:basedOn w:val="Standard"/>
  </w:style>
  <w:style w:type="paragraph" w:customStyle="1" w:styleId="Endnote">
    <w:name w:val="Endnote"/>
    <w:basedOn w:val="Standard"/>
  </w:style>
  <w:style w:type="paragraph" w:customStyle="1" w:styleId="Index">
    <w:name w:val="Index"/>
    <w:basedOn w:val="Standard"/>
  </w:style>
  <w:style w:type="character" w:customStyle="1" w:styleId="FootnoteSymbol">
    <w:name w:val="Footnote_Symbol"/>
    <w:rPr>
      <w:position w:val="0"/>
      <w:vertAlign w:val="superscript"/>
    </w:rPr>
  </w:style>
  <w:style w:type="character" w:customStyle="1" w:styleId="EndnoteSymbol">
    <w:name w:val="Endnote_Symbol"/>
    <w:rPr>
      <w:position w:val="0"/>
      <w:vertAlign w:val="superscript"/>
    </w:rPr>
  </w:style>
  <w:style w:type="character" w:customStyle="1" w:styleId="Footnoteanchor">
    <w:name w:val="Footnote_anchor"/>
    <w:rPr>
      <w:position w:val="0"/>
      <w:vertAlign w:val="superscript"/>
    </w:rPr>
  </w:style>
  <w:style w:type="character" w:customStyle="1" w:styleId="Endnoteanchor">
    <w:name w:val="Endnote_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404</Words>
  <Characters>2307</Characters>
  <Application>Microsoft Office Word</Application>
  <DocSecurity>0</DocSecurity>
  <Lines>19</Lines>
  <Paragraphs>5</Paragraphs>
  <ScaleCrop>false</ScaleCrop>
  <Company>Universiteit Utrecht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4</cp:revision>
  <dcterms:created xsi:type="dcterms:W3CDTF">2022-02-28T22:17:00Z</dcterms:created>
  <dcterms:modified xsi:type="dcterms:W3CDTF">2022-06-01T22:36:00Z</dcterms:modified>
</cp:coreProperties>
</file>