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nl-NL"/>
          <w14:textFill>
            <w14:solidFill>
              <w14:srgbClr w14:val="000000"/>
            </w14:solidFill>
          </w14:textFill>
        </w:rPr>
        <w:t>[K1]Amsterdam/1767[x1]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Oude Kerk</w:t>
      </w:r>
    </w:p>
    <w:p>
      <w:pPr>
        <w:pStyle w:val="Body"/>
      </w:pPr>
      <w:r>
        <w:rPr>
          <w:rFonts w:ascii="Courier 10cpi" w:cs="Courier 10cpi" w:hAnsi="Courier 10cpi" w:eastAsia="Courier 10cpi"/>
          <w:i w:val="1"/>
          <w:iCs w:val="1"/>
          <w:outline w:val="0"/>
          <w:color w:val="000000"/>
          <w:u w:color="000000"/>
          <w:rtl w:val="0"/>
          <w:lang w:val="nl-NL"/>
          <w14:textFill>
            <w14:solidFill>
              <w14:srgbClr w14:val="000000"/>
            </w14:solidFill>
          </w14:textFill>
        </w:rPr>
        <w:t>kabinetorgel</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Laat-gotische, in hout overwelfde basiliek, ontstaan door 16e-eeuwse verbouwing van oudere hallenkerk. Torenbekroning 1565. Inwendig de constructieve elementen van de gotiek in hout nagebootst. 16e-eeuwse ramen in Maria-kapel, 15e-eeuwse koorbanken. Overig meubilair 17e-eeuws.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Kas: 1767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 xml:space="preserve">Kunsthistorische aspecten. </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Dit met mahoniehout afgewerkte kabinetorgel is een forse variant van het instrument in de Geertekerk te Utrecht. Het is van het schrijfkabinettype en bevat schijnladen in de onderkast. De onderste en bovenste laden zijn bol, de middelste is hol. Opvallend is het hoge gedeelte tussen klavier en bovenkast. Deze bevat drie pijpvelden, waarvan het middelste een V-vormig labiumverloop te zien geeft, terwijl de zijvelden naar het midden aflopen. De zijvelden worden afgesloten door een holle ingezwenkte lijst met een rechte knik, terwijl het het middenveld een brede rondboog als afsluiting heeft. Als gebruikelijk een console in het midden. Het snijwerk vertoont eenvoudige rococo-vormen.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Arend Jan Gierveld, Het Nederlandse huisorgel in de 17de en 18de eeuw. Utrecht, 1977, 255-256.</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3990</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72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Deetlef Onderhorst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1767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Oorspronkelijke locatie onbekend (particulier bezit)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1848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geplaatst in Amsterdam, gemeentelijk Oudenliedenhuis in de Roeterstraat, achter loos front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buik en kuif van het instrument verwijderd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1946 A. Bik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reparatie, aanleg electrische windvoorziening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1953</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plafond van kerkzaal verlaagd, front orgel aan bovenzijde ingekort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kas wit geschilderd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1977 Hubert Schreurs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w:t>
        <w:tab/>
        <w:t>restauratie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kas hersteld en gecompleteerd, witte verflaag verwijderd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geplaatst in Oude Kerk te Amsterdam</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7 stemmen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Holpyp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Fluyt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Quint B</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Sexquialter D</w:t>
      </w:r>
    </w:p>
    <w:p>
      <w:pPr>
        <w:pStyle w:val="Body"/>
        <w:ind w:left="1111" w:right="260" w:firstLine="0"/>
      </w:pPr>
      <w:r>
        <w:rPr>
          <w:rFonts w:ascii="Courier 10cpi" w:cs="Courier 10cpi" w:hAnsi="Courier 10cpi" w:eastAsia="Courier 10cpi"/>
          <w:outline w:val="0"/>
          <w:color w:val="000000"/>
          <w:u w:color="000000"/>
          <w:rtl w:val="0"/>
          <w:lang w:val="nl-NL"/>
          <w14:textFill>
            <w14:solidFill>
              <w14:srgbClr w14:val="000000"/>
            </w14:solidFill>
          </w14:textFill>
        </w:rPr>
        <w:t>Octaaf B/D</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st.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tremulant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vulstemmen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 xml:space="preserve">Sexquialter </w:t>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c1 2 2/3 - 1 3/5</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423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C-f3</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magazijnbalg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55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voorzijde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De frontpijpen hebben aan de voorzijde schijnlabia. De werkelijke labia zijn aan de achterkant aangebracht.</w:t>
      </w:r>
    </w:p>
    <w:sectPr>
      <w:headerReference w:type="default" r:id="rId6"/>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