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de-DE"/>
          <w14:textFill>
            <w14:solidFill>
              <w14:srgbClr w14:val="000000"/>
            </w14:solidFill>
          </w14:textFill>
        </w:rPr>
        <w:t>[K1]Sexbierum/1767[x1]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Hervormde 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Gepleisterde eenbeukige kerk met rondgesloten koor uit begin 13e eeuw. In de 19e eeuw sterk gewijzigd. Toren in 1904 ommetseld. Rijke preekstoel met doophek uit 1768 door Johann Georg Hempel.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Dit orgel heeft vrijwel dezelfde opbouw als het iets oudere instrument in Tzum. Ook hier bij hoofdwerk en rugpositief een vijfdelige opzet met uitsluitend ronde torens in dezelfde verhoudingen als in Tzum. De decoratie is wederom van Johann Georg Hempel. Zijn snijwerk is hier iets rijker dan in Tzum. Men ziet elkaar doorsnijdende C-voluten, bandwerk, alles met licht schuimwerk en vrij grof uitgewerkt. De vleugelstukken zijn van een geheel ander karakter. Ook hier C-voluten in verschillende combinaties, maar alles veel luchtiger. Bloemen en hoorns van overvloed komen uit het volutenwerk te voorschijn. Deze zijstukken werden aangebracht in 1837 door Luitjen Jacob en Jacob van Dam. Anders dan in Tzum zijn hier op het hoofdwerk de beelden van David en twee bazuinblazende engelen bewaard gebleven.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Jan Jongepier, Het orgel in de Hervormde kerk te Sexbierum. Elburg, z.j., Publicaties Stichting tot Behoud van het Nederlandse Orgel 39.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8654</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1353</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1. Albertus Anthoni Hinsz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2. Bakker &amp; Timmenga</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Jaren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2. 1924</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Dispositie in 1767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Gedekt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Quintadeen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Spitsfluit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Woudfluit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Trompet</w:t>
      </w:r>
    </w:p>
    <w:p>
      <w:pPr>
        <w:pStyle w:val="Body"/>
        <w:ind w:left="1111" w:right="260" w:firstLine="0"/>
      </w:pPr>
      <w:r>
        <w:rPr>
          <w:rFonts w:ascii="Courier 10cpi" w:cs="Courier 10cpi" w:hAnsi="Courier 10cpi" w:eastAsia="Courier 10cpi"/>
          <w:outline w:val="0"/>
          <w:color w:val="000000"/>
          <w:u w:color="000000"/>
          <w:rtl w:val="0"/>
          <w:lang w:val="fr-FR"/>
          <w14:textFill>
            <w14:solidFill>
              <w14:srgbClr w14:val="000000"/>
            </w14:solidFill>
          </w14:textFill>
        </w:rPr>
        <w:t>Vox Humana</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4-5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Rugpositief</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Gedekt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Gedektfluit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s-ES_tradnl"/>
          <w14:textFill>
            <w14:solidFill>
              <w14:srgbClr w14:val="000000"/>
            </w14:solidFill>
          </w14:textFill>
        </w:rPr>
        <w:t>Superoctaaf</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Speelfluit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Sexquialter B/D</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Dulciaan</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6"/>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aangehangen pedaal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koppeling B/D HW-RP</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tremulant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twee afsluiters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 C-d3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toonhoogte 'compleete kamertoon</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de-DE"/>
          <w14:textFill>
            <w14:solidFill>
              <w14:srgbClr w14:val="000000"/>
            </w14:solidFill>
          </w14:textFill>
        </w:rPr>
        <w:t xml:space="preserve">Frans Caspar Schnitger jr en </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Heinrich Hermann Freytag 1798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herstel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frontpijpen opnieuw gefolied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Luitjen Jacob en Jacob van Dam 1836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herstel, mogelijk nieuwe klavieren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Luitjen Jacob en Jacob van Dam 1837</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nieuwe zijvleugels aan RP-kas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 van Dam en Zonen 1859</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dispositiewijzigingen:</w:t>
      </w:r>
    </w:p>
    <w:p>
      <w:pPr>
        <w:pStyle w:val="Body"/>
        <w:ind w:left="72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xml:space="preserve">HW nieuwe eiken pijpen Gedekt 16'(C-h), Spitsfluit 4'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nl-NL"/>
          <w14:textFill>
            <w14:solidFill>
              <w14:srgbClr w14:val="000000"/>
            </w14:solidFill>
          </w14:textFill>
        </w:rPr>
        <w:t>Roerfluit 4'</w:t>
      </w:r>
    </w:p>
    <w:p>
      <w:pPr>
        <w:pStyle w:val="Body"/>
        <w:ind w:left="72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 xml:space="preserve">RP Sexquialter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it-IT"/>
          <w14:textFill>
            <w14:solidFill>
              <w14:srgbClr w14:val="000000"/>
            </w14:solidFill>
          </w14:textFill>
        </w:rPr>
        <w:t>Viool de Gambe 8'</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 van Dam en Zonen 1865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herstel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 tongwerk</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J.F. Kruse 1906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herstel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frontpijpen opnieuw gefolied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Bakker &amp; Timmenga 1924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 orgel in de hoofdkas; RP-kas sinsdien leeg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nieuwe tinnen frontpijpen</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kas naar achteren vergroot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manuaalladen gemaakt als sleepladen met mechanische toetstractuur, pedaallade en gehele registertractuur pneumatisch</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nieuwe 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t>
        <w:tab/>
        <w:t>nieuwe klaviatuur</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hoofdwerk, zwelwerk, pedaal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 (I)</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10 stemmen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Bourdon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Viola di Gamba</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Gemshoorn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Mixtuur-Cornet</w:t>
      </w:r>
    </w:p>
    <w:p>
      <w:pPr>
        <w:pStyle w:val="Body"/>
        <w:ind w:left="851" w:firstLine="0"/>
      </w:pPr>
      <w:r>
        <w:rPr>
          <w:rFonts w:ascii="Courier 10cpi" w:cs="Courier 10cpi" w:hAnsi="Courier 10cpi" w:eastAsia="Courier 10cpi"/>
          <w:outline w:val="0"/>
          <w:color w:val="000000"/>
          <w:u w:color="000000"/>
          <w:rtl w:val="0"/>
          <w:lang w:val="fr-FR"/>
          <w14:textFill>
            <w14:solidFill>
              <w14:srgbClr w14:val="000000"/>
            </w14:solidFill>
          </w14:textFill>
        </w:rPr>
        <w:t>Trompet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851" w:firstLine="0"/>
        <w:sectPr>
          <w:headerReference w:type="default" r:id="rId7"/>
          <w:pgSz w:w="12240" w:h="15840" w:orient="portrait"/>
          <w:pgMar w:top="1440" w:right="1700" w:bottom="1440" w:left="170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st.</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Zwelwerk (II)</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8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Gedekt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Salicionaal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Aeoline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Voix C</w:t>
      </w:r>
      <w:r>
        <w:rPr>
          <w:rFonts w:ascii="Courier 10cpi" w:cs="Courier 10cpi" w:hAnsi="Courier 10cpi" w:eastAsia="Courier 10cpi"/>
          <w:outline w:val="0"/>
          <w:color w:val="000000"/>
          <w:u w:color="000000"/>
          <w:rtl w:val="0"/>
          <w:lang w:val="en-US"/>
          <w14:textFill>
            <w14:solidFill>
              <w14:srgbClr w14:val="000000"/>
            </w14:solidFill>
          </w14:textFill>
        </w:rPr>
        <w:t>é</w:t>
      </w:r>
      <w:r>
        <w:rPr>
          <w:rFonts w:ascii="Courier 10cpi" w:cs="Courier 10cpi" w:hAnsi="Courier 10cpi" w:eastAsia="Courier 10cpi"/>
          <w:outline w:val="0"/>
          <w:color w:val="000000"/>
          <w:u w:color="000000"/>
          <w:rtl w:val="0"/>
          <w14:textFill>
            <w14:solidFill>
              <w14:srgbClr w14:val="000000"/>
            </w14:solidFill>
          </w14:textFill>
        </w:rPr>
        <w:t>l</w:t>
      </w:r>
      <w:r>
        <w:rPr>
          <w:rFonts w:ascii="Courier 10cpi" w:cs="Courier 10cpi" w:hAnsi="Courier 10cpi" w:eastAsia="Courier 10cpi"/>
          <w:outline w:val="0"/>
          <w:color w:val="000000"/>
          <w:u w:color="000000"/>
          <w:rtl w:val="0"/>
          <w:lang w:val="en-US"/>
          <w14:textFill>
            <w14:solidFill>
              <w14:srgbClr w14:val="000000"/>
            </w14:solidFill>
          </w14:textFill>
        </w:rPr>
        <w:t>è</w:t>
      </w:r>
      <w:r>
        <w:rPr>
          <w:rFonts w:ascii="Courier 10cpi" w:cs="Courier 10cpi" w:hAnsi="Courier 10cpi" w:eastAsia="Courier 10cpi"/>
          <w:outline w:val="0"/>
          <w:color w:val="000000"/>
          <w:u w:color="000000"/>
          <w:rtl w:val="0"/>
          <w14:textFill>
            <w14:solidFill>
              <w14:srgbClr w14:val="000000"/>
            </w14:solidFill>
          </w14:textFill>
        </w:rPr>
        <w:t>ste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Salicet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Roerfluit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Spitsfluit</w:t>
      </w:r>
    </w:p>
    <w:p>
      <w:pPr>
        <w:pStyle w:val="Body"/>
      </w:pPr>
      <w:r>
        <w:rPr>
          <w:rFonts w:ascii="Courier 10cpi" w:cs="Courier 10cpi" w:hAnsi="Courier 10cpi" w:eastAsia="Courier 10cpi"/>
          <w:outline w:val="0"/>
          <w:color w:val="000000"/>
          <w:u w:color="000000"/>
          <w:rtl w:val="0"/>
          <w:lang w:val="fr-FR"/>
          <w14:textFill>
            <w14:solidFill>
              <w14:srgbClr w14:val="000000"/>
            </w14:solidFill>
          </w14:textFill>
        </w:rPr>
        <w:t>Vox Humana</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Pedaal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2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Subbas</w:t>
      </w:r>
    </w:p>
    <w:p>
      <w:pPr>
        <w:pStyle w:val="Body"/>
      </w:pPr>
      <w:r>
        <w:rPr>
          <w:rFonts w:ascii="Courier 10cpi" w:cs="Courier 10cpi" w:hAnsi="Courier 10cpi" w:eastAsia="Courier 10cpi"/>
          <w:outline w:val="0"/>
          <w:color w:val="000000"/>
          <w:u w:color="000000"/>
          <w:rtl w:val="0"/>
          <w:lang w:val="it-IT"/>
          <w14:textFill>
            <w14:solidFill>
              <w14:srgbClr w14:val="000000"/>
            </w14:solidFill>
          </w14:textFill>
        </w:rPr>
        <w:t>Cello</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8"/>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Werktuiglijke registers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koppelingen HW-ZwW, Ped-HW</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tremulant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ventiel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 xml:space="preserve">Mixtuur-Cornet HW </w:t>
      </w:r>
      <w:r>
        <w:rPr>
          <w:rFonts w:ascii="Arial Unicode MS" w:cs="Arial Unicode MS" w:hAnsi="Arial Unicode MS" w:eastAsia="Arial Unicode MS"/>
          <w:b w:val="0"/>
          <w:bCs w:val="0"/>
          <w:i w:val="0"/>
          <w:iCs w:val="0"/>
        </w:rPr>
        <w:br w:type="page"/>
      </w: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2 2/3*</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3/5*</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fluitmensuur</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 prestantmensuur</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435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magazijnbalg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niet te meten (orgel buiten gebruik)</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 hoofdkas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Uit 1767 dateren de beide kassen, de met intarsia versierde lessenaar en het pijpwerk van de Spitsfluit 2'. Het pijpwerk van de Roerfluit 4' dateert uit 1859.</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De RP-lade van 1767 en het pijpwerk van tien andere registers bevindt zich verspreid in drie orgels van Bakker &amp; Timmenga, gebouwd na 1924.</w:t>
      </w:r>
    </w:p>
    <w:sectPr>
      <w:headerReference w:type="default" r:id="rId9"/>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