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pt-PT"/>
          <w14:textFill>
            <w14:solidFill>
              <w14:srgbClr w14:val="000000"/>
            </w14:solidFill>
          </w14:textFill>
        </w:rPr>
        <w:t>[K1]Haren/1770[x1]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Romano-gotische kerk uit de eerste helft van de 13e eeuw. Toren ingrijpend gerestaureerd in 1914. Inwendig in het schip een vlakke balkenzoldering, in het koor koepelgewelven. Preekstoel uit 1725, gestoleten uit de 17e en 18e eeuw.</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Kas: 1770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Deze zevendelige kas is voor Hinsz tamelijk ongebruikelijk. Zij bestaat uit een ronde middentoren, zijvelden van twee etages, spitse zijtorens en smalle enkelvoudige vlakke zijvelden. Zijvelden en spitstorens hebben een gemeenschappelijke bovenlijst. Deze opbouw is verwant aan het orgel in de Buitenkerk te Kampen, waar de zijvelden twee etages hebben. In Kampen worden de kappen van de spitstorens als zodanig gemarkeerd door een verkropping in de lijst die torens en zijvelden verbindt. In Haren ontbreekt een dergelijke verkropping. Blijkens het contract zou hier een bestaande kas vergroot moeten zijn. Uit de constructie van de kas valt echter niet af te leiden wat Hinsz heeft aangetroffen en wat hij heeft toegevoegd. Het lijkt aannemelijk de kas toch in de eerste plaats te beschouwen als een concept van Hinsz. Opvallend is het snijwerk. Het vertoont vooral C-voluten van een vaak onregelmatige vorm, die elkaar veelvuldig snijden. Enig rudimentair schuimwerk valt ook nog te ontwaren, maar het geheel heeft nog weinig van het rococo. De vormen zijn extreem dun, om niet te zeggen sprietig, geworden. Men lette vooral op het snijwerk boven de tussenvelden. De rococo-esthetica nadert hier zijn einde. In de vleugelstukken ziet men nog de traditionele Groningse bazuinblazende engelen temidden van stekelige takken. Wij zijn hier wel ver verwijderd van de weelderige vormen die Jan de Rijk en Caspar Struiwig aan dergelijke vleugelstukken wisten te geven. </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 xml:space="preserve">Literatuur </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W.J. Dorgelo Hzn, Albertus Anthoni Hinsz orgelmaker 1704-1785. Augustinusga, 1985, 85-89.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Het Groninger Orgelbezit van Adorp tot Zijldijk. 4, Gorecht. Groningen, 1997, 136-137.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20272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603</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Albertus Anthonie Hinsz, met gebruikmaking van oudere delen (Andreas de Mare en Hendrick Harmens van Loon)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 xml:space="preserve">1770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 van Oeckelen midden 19e eeuw</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reparatie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kas opnieuw geschilderd (mahonie-imitatie), afgezet met goudbiezen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windkanalen aangepast, tremulant verwijderd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 xml:space="preserve">Sesquialtera 2 st.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it-IT"/>
          <w14:textFill>
            <w14:solidFill>
              <w14:srgbClr w14:val="000000"/>
            </w14:solidFill>
          </w14:textFill>
        </w:rPr>
        <w:t>Viola di Gamba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handklavier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herintonatie met behulp van nieuwe baarden en wijziging steminrichting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stemming gewijzigd in evenredig zwevende temperatuur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Klaas Doornbos 1937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restauratie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dispositiewijzigingen:</w:t>
      </w:r>
    </w:p>
    <w:p>
      <w:pPr>
        <w:pStyle w:val="Body"/>
        <w:ind w:left="98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HW nieuwe Bourdon 16' en Octaaf 4' (op aparte pneumatische lade), nieuwe Trompet 8' (Giesecke)</w:t>
      </w:r>
    </w:p>
    <w:p>
      <w:pPr>
        <w:pStyle w:val="Body"/>
        <w:ind w:left="98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 + Subbas 16' (transmissie van Bourdon 16')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 van Leeuwen Gzn. 1957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windvoorziening en windkanalen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regeerwerk en klaviatuur (behalve klavierraam van Van Oeckelen)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windladen voorzien van Veka-systeem, ventielkasten gemoderniseerd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BoW in de onderkas, vrij pedaal achter de HW-kas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 xml:space="preserve">HW herstel van de dispositie van 1770, Quint 3'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Octaaf 4' (ontbrekende pijpen bijgemaakt)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HW nieuw pijpwerk voor Sesquialter, Mixtuur en Trompet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toonhoogte halve toon verlaagd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lagere winddruk en opsneden, groot aantal nieuwe kernen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herintonatie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hoofdwerk, borstwerk,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 (I)</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9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Praestant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Quintadena</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Sesquialter D</w:t>
      </w:r>
    </w:p>
    <w:p>
      <w:pPr>
        <w:pStyle w:val="Body"/>
        <w:ind w:left="1111" w:right="260" w:firstLine="0"/>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14:textFill>
            <w14:solidFill>
              <w14:srgbClr w14:val="000000"/>
            </w14:solidFill>
          </w14:textFill>
        </w:rPr>
        <w:t>Borstwerk (II)</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6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Sifflet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Cymbel</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Regaal</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Pedaal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4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Subbas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Fagot</w:t>
      </w:r>
    </w:p>
    <w:p>
      <w:pPr>
        <w:pStyle w:val="Body"/>
      </w:pPr>
      <w:r>
        <w:rPr>
          <w:rFonts w:ascii="Courier 10cpi" w:cs="Courier 10cpi" w:hAnsi="Courier 10cpi" w:eastAsia="Courier 10cpi"/>
          <w:outline w:val="0"/>
          <w:color w:val="000000"/>
          <w:u w:color="000000"/>
          <w:rtl w:val="0"/>
          <w14:textFill>
            <w14:solidFill>
              <w14:srgbClr w14:val="000000"/>
            </w14:solidFill>
          </w14:textFill>
        </w:rPr>
        <w:t>Schalmey</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6"/>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koppelingen HW-RP, Ped-HW, Ped-BoW</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tremulant (pneumatisch)</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van de vulstemmen</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Mixtuur HW</w:t>
      </w:r>
      <w:r>
        <w:rPr>
          <w:rFonts w:ascii="Arial Unicode MS" w:cs="Arial Unicode MS" w:hAnsi="Arial Unicode MS" w:eastAsia="Arial Unicode MS"/>
          <w:b w:val="0"/>
          <w:bCs w:val="0"/>
          <w:i w:val="0"/>
          <w:iCs w:val="0"/>
        </w:rPr>
        <w:br w:type="page"/>
      </w:r>
    </w:p>
    <w:p>
      <w:pPr>
        <w:pStyle w:val="Body"/>
        <w:sectPr>
          <w:headerReference w:type="default" r:id="rId7"/>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pPr>
      <w:r>
        <w:rPr>
          <w:rFonts w:ascii="Courier 10cpi" w:cs="Courier 10cpi" w:hAnsi="Courier 10cpi" w:eastAsia="Courier 10cpi"/>
          <w:outline w:val="0"/>
          <w:color w:val="000000"/>
          <w:u w:color="000000"/>
          <w:rtl w:val="0"/>
          <w14:textFill>
            <w14:solidFill>
              <w14:srgbClr w14:val="000000"/>
            </w14:solidFill>
          </w14:textFill>
        </w:rPr>
        <w:t>1/2</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pPr>
      <w:r>
        <w:rPr>
          <w:rFonts w:ascii="Courier 10cpi" w:cs="Courier 10cpi" w:hAnsi="Courier 10cpi" w:eastAsia="Courier 10cpi"/>
          <w:outline w:val="0"/>
          <w:color w:val="000000"/>
          <w:u w:color="000000"/>
          <w:rtl w:val="0"/>
          <w14:textFill>
            <w14:solidFill>
              <w14:srgbClr w14:val="000000"/>
            </w14:solidFill>
          </w14:textFill>
        </w:rPr>
        <w:t>2/3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pPr>
      <w:r>
        <w:rPr>
          <w:rFonts w:ascii="Courier 10cpi" w:cs="Courier 10cpi" w:hAnsi="Courier 10cpi" w:eastAsia="Courier 10cpi"/>
          <w:outline w:val="0"/>
          <w:color w:val="000000"/>
          <w:u w:color="000000"/>
          <w:rtl w:val="0"/>
          <w14:textFill>
            <w14:solidFill>
              <w14:srgbClr w14:val="000000"/>
            </w14:solidFill>
          </w14:textFill>
        </w:rPr>
        <w:t>1</w:t>
      </w:r>
      <w:r>
        <w:rPr>
          <w:rFonts w:ascii="Arial Unicode MS" w:cs="Arial Unicode MS" w:hAnsi="Arial Unicode MS" w:eastAsia="Arial Unicode MS"/>
          <w:b w:val="0"/>
          <w:bCs w:val="0"/>
          <w:i w:val="0"/>
          <w:iCs w:val="0"/>
        </w:rPr>
        <w:br w:type="page"/>
      </w:r>
    </w:p>
    <w:p>
      <w:pPr>
        <w:pStyle w:val="Body"/>
        <w:sectPr>
          <w:headerReference w:type="default" r:id="rId8"/>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pt-PT"/>
          <w14:textFill>
            <w14:solidFill>
              <w14:srgbClr w14:val="000000"/>
            </w14:solidFill>
          </w14:textFill>
        </w:rPr>
        <w:t xml:space="preserve">Sesquialter HW a  </w:t>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2 2/3 - 1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it-IT"/>
          <w14:textFill>
            <w14:solidFill>
              <w14:srgbClr w14:val="000000"/>
            </w14:solidFill>
          </w14:textFill>
        </w:rPr>
        <w:t>Cymbel BoW</w:t>
      </w:r>
      <w:r>
        <w:rPr>
          <w:rFonts w:ascii="Arial Unicode MS" w:cs="Arial Unicode MS" w:hAnsi="Arial Unicode MS" w:eastAsia="Arial Unicode MS"/>
          <w:b w:val="0"/>
          <w:bCs w:val="0"/>
          <w:i w:val="0"/>
          <w:iCs w:val="0"/>
        </w:rPr>
        <w:br w:type="page"/>
      </w:r>
    </w:p>
    <w:p>
      <w:pPr>
        <w:pStyle w:val="Body"/>
        <w:sectPr>
          <w:headerReference w:type="default" r:id="rId9"/>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1/3</w:t>
      </w:r>
    </w:p>
    <w:p>
      <w:pPr>
        <w:pStyle w:val="Body"/>
      </w:pPr>
      <w:r>
        <w:rPr>
          <w:rFonts w:ascii="Courier 10cpi" w:cs="Courier 10cpi" w:hAnsi="Courier 10cpi" w:eastAsia="Courier 10cpi"/>
          <w:outline w:val="0"/>
          <w:color w:val="000000"/>
          <w:u w:color="000000"/>
          <w:rtl w:val="0"/>
          <w14:textFill>
            <w14:solidFill>
              <w14:srgbClr w14:val="000000"/>
            </w14:solidFill>
          </w14:textFill>
        </w:rPr>
        <w:t>1/4</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pPr>
      <w:r>
        <w:rPr>
          <w:rFonts w:ascii="Courier 10cpi" w:cs="Courier 10cpi" w:hAnsi="Courier 10cpi" w:eastAsia="Courier 10cpi"/>
          <w:outline w:val="0"/>
          <w:color w:val="000000"/>
          <w:u w:color="000000"/>
          <w:rtl w:val="0"/>
          <w14:textFill>
            <w14:solidFill>
              <w14:srgbClr w14:val="000000"/>
            </w14:solidFill>
          </w14:textFill>
        </w:rPr>
        <w:t>1/3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fis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pPr>
      <w:r>
        <w:rPr>
          <w:rFonts w:ascii="Courier 10cpi" w:cs="Courier 10cpi" w:hAnsi="Courier 10cpi" w:eastAsia="Courier 10cpi"/>
          <w:outline w:val="0"/>
          <w:color w:val="000000"/>
          <w:u w:color="000000"/>
          <w:rtl w:val="0"/>
          <w14:textFill>
            <w14:solidFill>
              <w14:srgbClr w14:val="000000"/>
            </w14:solidFill>
          </w14:textFill>
        </w:rPr>
        <w:t>1/2</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dis1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pPr>
      <w:r>
        <w:rPr>
          <w:rFonts w:ascii="Courier 10cpi" w:cs="Courier 10cpi" w:hAnsi="Courier 10cpi" w:eastAsia="Courier 10cpi"/>
          <w:outline w:val="0"/>
          <w:color w:val="000000"/>
          <w:u w:color="000000"/>
          <w:rtl w:val="0"/>
          <w14:textFill>
            <w14:solidFill>
              <w14:srgbClr w14:val="000000"/>
            </w14:solidFill>
          </w14:textFill>
        </w:rPr>
        <w:t>2/3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pPr>
      <w:r>
        <w:rPr>
          <w:rFonts w:ascii="Courier 10cpi" w:cs="Courier 10cpi" w:hAnsi="Courier 10cpi" w:eastAsia="Courier 10cpi"/>
          <w:outline w:val="0"/>
          <w:color w:val="000000"/>
          <w:u w:color="000000"/>
          <w:rtl w:val="0"/>
          <w14:textFill>
            <w14:solidFill>
              <w14:srgbClr w14:val="000000"/>
            </w14:solidFill>
          </w14:textFill>
        </w:rPr>
        <w:t>1</w:t>
      </w:r>
      <w:r>
        <w:rPr>
          <w:rFonts w:ascii="Arial Unicode MS" w:cs="Arial Unicode MS" w:hAnsi="Arial Unicode MS" w:eastAsia="Arial Unicode MS"/>
          <w:b w:val="0"/>
          <w:bCs w:val="0"/>
          <w:i w:val="0"/>
          <w:iCs w:val="0"/>
        </w:rPr>
        <w:br w:type="page"/>
      </w:r>
    </w:p>
    <w:p>
      <w:pPr>
        <w:pStyle w:val="Body"/>
        <w:sectPr>
          <w:headerReference w:type="default" r:id="rId10"/>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ca 440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C-c3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58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 hoofdkas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Door de verbouwing van 1957 is dit orgel getransformeerd in een instrument dat in klank grote gelijkenis vertoont met instrumenten uit de neo-barokke orgelbouwperiode. Het oudste pijpwerk vertoont opvallende gelijkenis met het pijpwerk van het orgel van de Der Aa-kerk te Groningen uit diezelfde periode. Het betreft de Prestant 8' (ged.), Holpijp 8', Quintadena 8', Roerfluit 4', Octaaf 4' en Octaaf 2'. Van Hinsz resteren nog gedeelten van de Prestant 8' en Octaaf 4'. Al het overige pijpwerk dateert uit 1957.</w:t>
      </w:r>
    </w:p>
    <w:sectPr>
      <w:headerReference w:type="default" r:id="rId11"/>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