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Lobith/ca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zaalkerk met driezijdige sluiting en dakruiter, gebouwd in 1660. Fraaie zandstenen ingangspoort.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is het enige tweeklaviers kabinetorgel van Hess dat be</w:t>
        <w:softHyphen/>
        <w:t>waard is gebleven. Het met mahoniehout afgewerkte meubel wijkt sterk af van het overige werk van Hess. De onderkast heeft het model van een cilinderbureau, wat men bij de andere van Hess bekende instrumenten niet vindt. Zij is zeer sober en bevat drie vlakke schijnladen, rond beslagwerk, gecanneleerde hoek</w:t>
        <w:softHyphen/>
        <w:t>stijlen en eveneens gecanneleerde tapse poten. Opvallend is dat het voor Hess zo karakteristieke gesneden paneel boven de klaviatuur ontbreekt. De bovenkast is ook anders dan wij van Hess gewend zijn. Zij omvat vijf pijpvelden: een middenveld van vijf pijpen, dubbele tussenvelden van elk negen pijpen en zijvelden van drie pijpen. De blinderingen bevatten strikken, rozetten, kwasten, vegetatieve elementen en ook nog enige bescheiden C-voluten. Opmerkelijk is het zware gesloten fron</w:t>
        <w:softHyphen/>
        <w:t>ton met bescheiden modillons, dat het geheel tamelijk zwaar 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148-149, 441-442.</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Nederlandse Orgelpracht</w:t>
      </w:r>
      <w:r>
        <w:rPr>
          <w:rFonts w:eastAsia="Courier 10cpi" w:cs="Courier 10cpi" w:ascii="Courier 10cpi" w:hAnsi="Courier 10cpi"/>
          <w:color w:val="000000"/>
          <w:sz w:val="24"/>
          <w:szCs w:val="24"/>
        </w:rPr>
        <w:t>, Haarlem, 1961, cat. 153.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57 (1987), 325.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44/1 (1948), 8; 44/2 (1948), 6, 9; 44/3 (1948), 11; 57 (1961), 131, 217-218; 76 (1980), 53.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J.F. van Os, </w:t>
      </w:r>
      <w:r>
        <w:rPr>
          <w:rFonts w:eastAsia="Courier 10cpi" w:cs="Courier 10cpi" w:ascii="Courier 10cpi" w:hAnsi="Courier 10cpi"/>
          <w:i/>
          <w:iCs/>
          <w:color w:val="000000"/>
          <w:sz w:val="24"/>
          <w:szCs w:val="24"/>
        </w:rPr>
        <w:t>Langs Nederlandse Orgels Overijssel, Gelderland</w:t>
      </w:r>
      <w:r>
        <w:rPr>
          <w:rFonts w:eastAsia="Courier 10cpi" w:cs="Courier 10cpi" w:ascii="Courier 10cpi" w:hAnsi="Courier 10cpi"/>
          <w:color w:val="000000"/>
          <w:sz w:val="24"/>
          <w:szCs w:val="24"/>
        </w:rPr>
        <w:t>. Baarn, 1978, 36, 119.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21963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waarschijnlijk Hendrik Hermanus Hess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vóór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bezit van Daniel Brachthuyser, organist van de Nieuwe Kerk te Amsterdam, mogelijk kocht deze het orgel in 1801 te Amsterdam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op een publieke verkoping aangekocht door Hervormde gemeente te Lobith en geplaatst in het kerkgebouw aldaar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buiten gebruik gesteld, elektronisch orgel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.achterwand vernieuwd, kas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magazijnbalg geplaatst, gemaakt naar Hess-voorbeeld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en mechanieken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oorspronkelijke samenstelling Mixtuur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Schalmei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Man I-Man II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446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zonder schepbalg (1996)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57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onderlade (manuaal I) ligt direkt boven de balg, de mechaniek is als stekermechaniek uitgevoerd, deels met walsjes. De bovenlade (manuaal II) ligt achter het front. De Prestant 4' staat vanaf F deels in het front. C-E zijn houten binnenpijpen. De Schalmei 8' is geplaatst in een stevelblok vooraan in de onderkas, lager dan de onderlade. De bekers zijn cilindrisch op onderconus.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