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Noordeinde (bij Graft)/1794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(Voormalige) 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uit 1874, gebouwd op basis van een ontwerp van de architect J.H. Leliman dat bij de uitvoering sterk werd ver</w:t>
        <w:softHyphen/>
        <w:t>eenvoudigd. Inrichting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gebruikelijke vijfdelige Strumphler-front, hier met een labiumverloop in de tussenvelden dat overeenkomt met dat in de Doopsgezinde Singelkerk te Amsterdam: in de ondervelden lopen de labia steil naar het midden af, in de bovenvelden doen zij dat met een flauw gebogen lijn. De ornamentiek is fraai ver</w:t>
        <w:softHyphen/>
        <w:t>zorgd. Men onderscheidt bladvoluten, bebladerde twijgen en guirlandes. Tussen de onder- en bovenvelden bevinden zich drie rozetten met daaronder guirlandes. Op de middentoren een zittende koning David met harp, op de zijtorens bazuinblazende engelen met een zegepalm.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81-82, 212.</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80 (1995), 1039-1041.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Johannes Stephanus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Driehuis-Velsen, H. Engelmundus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den Brink &amp; Zn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na werkzaamheden aan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twee blaasbalgen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Wed. L. Ypma 1894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.Strumphler-orgel ingenomen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Wed. L. Ypma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.Strumphler-orgel geplaatst in Noordeinde, 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aangehangen pedaal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Mixtuur, + Viola 8' (vanaf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 1841 of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.dubbelkoor Prestant 8' stom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overgeschilderd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.toetsbeleg vernieuwd in celluloid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.ronde trekstokken aan registerknoppen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opnieuw geschilderd in oorspronkelijke kleur</w:t>
        <w:softHyphen/>
        <w:t>stelling (J.C. Cramer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beenbeleg voor ondertoetsen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rechthoekige trekstokken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8'→ 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.B/D-deling Mixtuur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oorspronkelijke toonhoogte was ca 430 Hz op a1. Deze is nog af te leiden uit het later stom gemaakte dubbelkoor van de Prestant 8' in het front. De Prestant 8' staat vanaf F in het front. Op de lade staat fis2 tot en met f3, dit gedeelte spreekt nog met dubbelkoor. De Holpijp 8' is vanaf c1 als Roerfluit uitgevoerd, de Fluit 4' vanaf c als Roerfluit. In de hoeden van de Bourdon 16' zijn krantenfragmenten uit 1792, 1837 en 1841 aangetroffen. Afgezien van de wijziging van de toonhoogte is de Strumphler-klank in het binnenpijpwerk vrij</w:t>
        <w:softHyphen/>
        <w:t>wel ongeretoucheerd bewaard gebleven.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Quint 3' die in de dispositie-Broekhuyzen vermeld wordt, is in dit orgel nooit aanwezig geweest. De Viola 8', die tot 1992 aanwezig was, staat in het journaalboek van de fa. Ypma al geboekt in 1894. Kennelijk heeft het orgel dus tussen 1894 en 1897 in het bedrijf speelklaar te koop gestaan, in reeds gewijzigde staat.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