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Echteld/1806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Hervormde Kerk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Koor uit de 15e eeuw, schip met oudere bouwdelen, toren uit 1835.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Kunsthistorische aspecten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 dit orgel heeft Meere het fronttype gevonden dat hij, behoudens een enkele uitzondering, tot het eind van zijn leven trouw zal blijven; ook door anderen zal het worden nagevolgd. De opbouw van Akersloot en Vianen blijft in hoofdzaak gehandhaafd; dus men ziet een ronde middentoren, gedeelde tussenvelden en ronde zijtorens. Te beginnen met dit orgel maakt Meere nu de tussenvelden vlak in plaats van hol, wat een strakker beeld oplevert, in overeenstemming met de principes van het neo-classicisme. Opvallend is dat hier de kappen van de torens weer sterk uitsteken. De in eerdere en latere Meere-orgels gebruikelijke tandlijsten ontbreken hier. Dit kan echter het gevolg zijn van een latere wijziging. Het tegengestelde labiumverloop in de tussenvelden is niet kenmerkend voor Meere; ook dit kan op een verandering berusten, de frontpijpen werden immers in 1870 vernieuwd door de Firma Gabry.</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Het orgel is geplaatst op een galerij met een dorisch fries. In de decoratie zijn nog overeenkomst met Vianen te bespeuren. De consoles onder de torens hebben dezelfde opbouw uit bladelementen, terwijl de er overheen aangebrachte guirlande ongeveer hetzelfde verloop heeft; alleen het neerhangende uiteinde onder de zijtorens ontbreekt. In Vianen is direct boven de consoles een doorgaande eierlijst aangebracht. Hier maakt deze deel uit van de consoles; onder de velden ontbreekt zij. Het lijkt erop dat de ontwerper de zelfstandigheid van de verschillende delen heeft willen benadrukken en daarom de verbindende elementen weglaat. De blinderingen bestaan uit een virtuoos samenstel van elkaar snijdende bladtakjes. De wangstukken hebben hier de vorm van gesloten voluten, die door een console in twee etages wordt onderverdeeld en is voorzien van slingers. Op de zijtorens zijn de voor het neo-classicisme typerende vlampotten geplaatst. Op de middentoren staat een vrouwenfiguur met in haar linker hand een vlammend hart en in haar rechter een schriftrol. Waarschijnlijk moeten wij daarin en personificatie van de godvrucht zien.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Literatuur</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Boekzaal</w:t>
      </w:r>
      <w:r>
        <w:rPr>
          <w:rFonts w:eastAsia="Courier 10cpi" w:cs="Courier 10cpi" w:ascii="Courier 10cpi" w:hAnsi="Courier 10cpi"/>
          <w:color w:val="000000"/>
          <w:sz w:val="24"/>
          <w:szCs w:val="24"/>
        </w:rPr>
        <w:t xml:space="preserve"> 1806B, 577-580.</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A. Bijvank, 'Orgelrestauratie in de N.H. Kerk te Echteld'. </w:t>
      </w:r>
      <w:r>
        <w:rPr>
          <w:rFonts w:eastAsia="Courier 10cpi" w:cs="Courier 10cpi" w:ascii="Courier 10cpi" w:hAnsi="Courier 10cpi"/>
          <w:i/>
          <w:iCs/>
          <w:color w:val="000000"/>
          <w:sz w:val="24"/>
          <w:szCs w:val="24"/>
        </w:rPr>
        <w:t>De Orgelvriend</w:t>
      </w:r>
      <w:r>
        <w:rPr>
          <w:rFonts w:eastAsia="Courier 10cpi" w:cs="Courier 10cpi" w:ascii="Courier 10cpi" w:hAnsi="Courier 10cpi"/>
          <w:color w:val="000000"/>
          <w:sz w:val="24"/>
          <w:szCs w:val="24"/>
        </w:rPr>
        <w:t>, 21/9 (1979), 4-5.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EO-brochure orgels van A. Meere, 1987, 17-19.</w:t>
      </w:r>
    </w:p>
    <w:p>
      <w:pPr>
        <w:pStyle w:val="Normal"/>
        <w:bidi w:val="0"/>
        <w:spacing w:lineRule="auto" w:line="240" w:before="0" w:after="0"/>
        <w:ind w:start="0" w:end="0" w:hanging="0"/>
        <w:jc w:val="start"/>
        <w:rPr/>
      </w:pPr>
      <w:r>
        <w:rPr>
          <w:rFonts w:eastAsia="Courier 10cpi" w:cs="Courier 10cpi" w:ascii="Courier 10cpi" w:hAnsi="Courier 10cpi"/>
          <w:i/>
          <w:iCs/>
          <w:color w:val="000000"/>
          <w:sz w:val="24"/>
          <w:szCs w:val="24"/>
        </w:rPr>
        <w:t>Ned. Herv. Kerk Echteld</w:t>
      </w:r>
      <w:r>
        <w:rPr>
          <w:rFonts w:eastAsia="Courier 10cpi" w:cs="Courier 10cpi" w:ascii="Courier 10cpi" w:hAnsi="Courier 10cpi"/>
          <w:color w:val="000000"/>
          <w:sz w:val="24"/>
          <w:szCs w:val="24"/>
        </w:rPr>
        <w:t>, z.p., z.j., 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Niet gepubliceerde bron:</w:t>
      </w:r>
    </w:p>
    <w:p>
      <w:pPr>
        <w:pStyle w:val="Normal"/>
        <w:bidi w:val="0"/>
        <w:spacing w:lineRule="auto" w:line="240" w:before="0" w:after="0"/>
        <w:ind w:start="0" w:end="0" w:hanging="0"/>
        <w:jc w:val="start"/>
        <w:rPr/>
      </w:pPr>
      <w:r>
        <w:rPr>
          <w:rFonts w:eastAsia="Courier 10cpi" w:cs="Courier 10cpi" w:ascii="Courier 10cpi" w:hAnsi="Courier 10cpi"/>
          <w:color w:val="000000"/>
          <w:sz w:val="24"/>
          <w:szCs w:val="24"/>
        </w:rPr>
        <w:t xml:space="preserve">Johan van Markesteyn, </w:t>
      </w:r>
      <w:r>
        <w:rPr>
          <w:rFonts w:eastAsia="Courier 10cpi" w:cs="Courier 10cpi" w:ascii="Courier 10cpi" w:hAnsi="Courier 10cpi"/>
          <w:i/>
          <w:iCs/>
          <w:color w:val="000000"/>
          <w:sz w:val="24"/>
          <w:szCs w:val="24"/>
        </w:rPr>
        <w:t>Abraham Meere (1761-1841) orgelmaker</w:t>
      </w:r>
      <w:r>
        <w:rPr>
          <w:rFonts w:eastAsia="Courier 10cpi" w:cs="Courier 10cpi" w:ascii="Courier 10cpi" w:hAnsi="Courier 10cpi"/>
          <w:color w:val="000000"/>
          <w:sz w:val="24"/>
          <w:szCs w:val="24"/>
        </w:rPr>
        <w:t>. scriptie RU Utrecht, 1987, 17-19.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Monumentnummer 14267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Orgelnummer 392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Historische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Bouwer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 Meere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Jaar van oplevering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volgens Boekzaal 1806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Super 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3-4-5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 ventiel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Fa Gabry en Zn 1870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en wijziging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.frontpijpen vernieuwd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.kas gewijzigd en dieper gemaakt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 D 8' uitgebreid met bas-gedeelte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Sexquialter B/D, + Trompet 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 Leichel 1879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windlade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onbekend moment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.spaanbalgen vervangen door magazijnbalg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.verschillende dispositie-wijzigingen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Hameling 1947</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na oorlogsschade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.aangehangen pedaal verwijderd, pedaalklavier opgeslagen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 ca 1950</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Bourdon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 travers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Gamba</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Trompet</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16'</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K.B. Blank &amp; Zn 1979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.restauratie en herstel oorspronkelijke toestand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.oude pedaalklavier hersteld en herplaatst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.magazijnbalg vervangen door twee spaanbalgen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.herstel dispositie: - Bourdon 16', - Gamba 8', - Trompet 8', - bas-gedeelte Fluit travers 8' + Mixtuur, + Sexquialter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Technische gegevens</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Werkindeling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 aangehangen pedaal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Dispositie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 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Prestant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Holpijp</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Flute Traver 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Fluit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Octaaf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 B/D</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 B/D</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3-5 st.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Werktuiglijk register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tremulant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Samenstelling vulstemmen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Sexquialter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C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 xml:space="preserve">2 2/3 </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3/5</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Mixtuur</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c1</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1 1/3</w:t>
      </w:r>
      <w:r>
        <w:br w:type="page"/>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4</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 2/3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2</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Toonhoogte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a1=415 Hz</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Temperatuur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Werckmeister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Manuaalomvang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C-f3</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Pedaalomvang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C-f</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Windvoorziening</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twee spaanbalgen (1979)</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Winddruk</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80 mm</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Plaats klaviatuur</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rechterzijde</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Bijzonderheden</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De Prestant 8' staat vanaf D in het front, C en Cis zijn houten binnenpijpen. De Holpijp 8' bezit eiken pijpen voor C-H, de Flute Traver is van metaal, de Fluit 4' is geheel gedekt.</w:t>
      </w:r>
    </w:p>
    <w:p>
      <w:pPr>
        <w:pStyle w:val="Normal"/>
        <w:bidi w:val="0"/>
        <w:spacing w:lineRule="auto" w:line="240" w:before="0" w:after="0"/>
        <w:ind w:start="0" w:end="0" w:hanging="0"/>
        <w:jc w:val="start"/>
        <w:rPr>
          <w:rFonts w:ascii="Courier 10cpi" w:hAnsi="Courier 10cpi" w:eastAsia="Courier 10cpi" w:cs="Courier 10cpi"/>
          <w:color w:val="000000"/>
          <w:sz w:val="24"/>
          <w:szCs w:val="24"/>
        </w:rPr>
      </w:pPr>
      <w:r>
        <w:rPr>
          <w:rFonts w:eastAsia="Courier 10cpi" w:cs="Courier 10cpi" w:ascii="Courier 10cpi" w:hAnsi="Courier 10cpi"/>
          <w:color w:val="000000"/>
          <w:sz w:val="24"/>
          <w:szCs w:val="24"/>
        </w:rPr>
        <w:t>Verschillende bronnen (Boekzaal, Hess Vervolg en Broekhuyzen) maken melding van het feit dat de bouw aanvankelijk was opgedragen aan F.G.A. Heyneman, deze zou het orgel door zijn overlijden onvoltooid hebben gelaten, waarna Meere het afmaakte. Tijdens de restauratie zijn daarentegen geen aanwijzingen omtrent een gedeeld auteurschap aangetroffen, het gehele werk draagt de kenmerken van Meere.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Courier 10cpi">
    <w:charset w:val="01" w:characterSet="utf-8"/>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Songti SC" w:cs="Arial Unicode MS"/>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rPr>
      <w:vertAlign w:val="superscript"/>
    </w:rPr>
  </w:style>
  <w:style w:type="character" w:styleId="Endnoteanchor">
    <w:name w:val="Endnote_anchor"/>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