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Oostwold/1811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Kruiskerk uit 1775, waarvan de zuidelijk arm in 1882 is verlengd. Toren op de kruising. Rijk meubilair uit de bouwtijd en uit de vroege 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front hoort in de reeks Zuidbroek, Bellingwolde. Het opmerkelijke is hier dat Freytag de neo-classicistische blokvorm zowel versterkt als relativeert. In de Zuidbroek en Bellingwolde kan men de gehele orgelkas als blokvormig opvatten, alleen de middentorens weten zich van de dwingende hoofdvorm enigszins los te maken. In Oostwold wordt nu de middenpartij op bijna extreme wijze blokvormig gemaakt en ten opzichte van de rest van de kas verzelfstandigd. Op de toren van het bovenwerk na, is alles geheel vlak. De tussenlijsten en bovenlijsten in de middenpartij hebben een volledig recht verloop. De middenpartij vormt dus een vrijwel gesloten blok. Er is binnen dit strakke kader wel enige variatie. Het benedengedeelte van de middenpartij heeft een loos vlak middenveld met labiumverloop in de vorm van een omgekeerde U en ongedeelde velden aan weerszijden daarvan, met een naar het midden oplopende labiumlijn. In het bovengedeelte wordt de ronde toren geflankeerd door velden van twee etages, met een naar het midden aflopende labiumlijn.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tussenvelden hebben schuine bovenlijsten en wijken hol naar achteren, zodat er bij dit strakke geheel toch weer een welving ontstaat; zij hebben slechts twee etages van verschillende hoogte; de lange reeks van Bellingwolde keert hier niet terug. De zijtorens steken weer iets boven de tussenvelden uit, maar zijn toch lager dan de middenpartij. Opvallend is dat de frontpijpen in de torens ronde labia hebben en de velden spitse. In de kappen van de torens zijn tandlijsten aangbracht evenals boven de klaviatuur.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ornamentiek is ook vrij strak. De benedenlijst van middenpartij en tussenvelden is opengewerkt, wat bij de oudere orgels van deze bouwer niet voorkomt, en voorzien van een fraaie entrelac-lijst. Plantaardige vormen komen voor in de blinderingen en in de vleugelstukken, die het voor Freytag gangbare model vertonen, maar zij zijn sterk geabstraheerd. Boven in de middenpartij, de tussenvelden en de zijtorens zijn het echter zware draperieën die de toon aangeven. Ook deze draperieën met hun linten en strikken doen tamelijk abstract aan, het zijn geschematiseerde vormen, het is niet een weergave van werkelijke gordijnen. Heel duidelijk kan men dit zien bij de mini-draperietjes boven aan de stijlen. Boven de middenpartij is een muziekinstrumententrofee te zien met pauken en trompetten. Op de zijtorens urnen met meandervormige handvatten. Op de borstwering bevindt zich een opzetstuk met lezenaar, met een tekst over de bouw van het orgel en enig sober rankwerk.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1811B, 636-638.</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66, 341-344.</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85 (1989), 359; (86) 1990, 52-73.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Koos Tiggelaar, 'Het orgel van Oostwold', </w:t>
      </w:r>
      <w:r>
        <w:rPr>
          <w:rFonts w:eastAsia="Courier 10cpi" w:cs="Courier 10cpi" w:ascii="Courier 10cpi" w:hAnsi="Courier 10cpi"/>
          <w:i/>
          <w:iCs/>
          <w:color w:val="000000"/>
          <w:sz w:val="24"/>
          <w:szCs w:val="24"/>
        </w:rPr>
        <w:t>Publicatie Stichting Groningen Orgelland</w:t>
      </w:r>
      <w:r>
        <w:rPr>
          <w:rFonts w:eastAsia="Courier 10cpi" w:cs="Courier 10cpi" w:ascii="Courier 10cpi" w:hAnsi="Courier 10cpi"/>
          <w:color w:val="000000"/>
          <w:sz w:val="24"/>
          <w:szCs w:val="24"/>
        </w:rPr>
        <w:t>, 13 (1987).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Koos Tiggelaar, </w:t>
      </w:r>
      <w:r>
        <w:rPr>
          <w:rFonts w:eastAsia="Courier 10cpi" w:cs="Courier 10cpi" w:ascii="Courier 10cpi" w:hAnsi="Courier 10cpi"/>
          <w:i/>
          <w:iCs/>
          <w:color w:val="000000"/>
          <w:sz w:val="24"/>
          <w:szCs w:val="24"/>
        </w:rPr>
        <w:t>Freytag &amp; Schnitger in Compagnie</w:t>
      </w:r>
      <w:r>
        <w:rPr>
          <w:rFonts w:eastAsia="Courier 10cpi" w:cs="Courier 10cpi" w:ascii="Courier 10cpi" w:hAnsi="Courier 10cpi"/>
          <w:color w:val="000000"/>
          <w:sz w:val="24"/>
          <w:szCs w:val="24"/>
        </w:rPr>
        <w:t>. Oostwold 1990, 78-80, passim.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29923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1161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H.H. Freytag en J.W. Timpe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 Freytag 1843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 Freytag 1847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opnieuw gefoelied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Freytag 1853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.registerplaatjes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.schuifkoppel van registerknop voorzien, hiervoor de knop van de Tremulant BW gebruikt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.veel stemkrullen en zijbaarden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Prestant 4' ◂→ 8', Carillon D → Viola di Gamba 8', Nazard 3' → Salicio</w:t>
        <w:softHyphen/>
        <w:t>naal 4', Vox Humana 8' → Klarinet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bij deze gelegenheid tongwerken verschoven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&amp; Zonen 1883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na uitbreiding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&amp; Zonen 1889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Doornbos 1919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Spanjaard 1947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.ventielveren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.dubbelkoren in de Mixtuur stom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met aluminiumverf bestreken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A.H. de Graaf 1989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van tinfoelie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toestand snijwerk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.registeropschriften vernieuwd naar voorbeeld van het orgel te Warffum (1812)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.schuifkoppel in oude staat teruggebracht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ventielveren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nieuwe Tremulanten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teruggebracht naar toestand 1811, dubbelkoren Mixtuur hersteld, wijzigingen pijpwerk ongedaan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Nassat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schuifkoppel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HW (opliggend, werkt op het gehele orgel), BW (in</w:t>
        <w:softHyphen/>
        <w:t>liggend)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ventielen HW, BW (buiten gebruik)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c1  4 - 1 3/5 - 1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450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Neidhardt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orgelkas is grotendeels van eiken, de zij- en achterregels alsmede het dak zijn van grenen. De klavieren bezitten recht</w:t>
        <w:softHyphen/>
        <w:t>hoekige bakstukken voorzien van inlegwerk. Het ivoren toetsbe</w:t>
        <w:softHyphen/>
        <w:t>leg van de ondertoetsen is met ebben pennetjes vastgezet. De ivoren frontons zijn vlak uitgevoerd. Het pedaalklavier is nieuw, waarbij het oude raamwerk behouden bleef. De register</w:t>
        <w:softHyphen/>
        <w:t>knoppen zijn in twee horizontale rijen aan weerszijden van de klavieren geplaatst. De knoppen voor de beide tremulanten be</w:t>
        <w:softHyphen/>
        <w:t>vinden zich in de stijlen direct naast de klavieren.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drie windladen zijn van eiken en voorzien van inliggende voorslagen. In de laden van het Hoofdwerk zijn schuine tussen</w:t>
        <w:softHyphen/>
        <w:t>schotjes in de cancellen aangebracht, ter scheiding van de windweg van de beide tongwerken.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het Hoofdwerk is geheel origineel; veel boven</w:t>
        <w:softHyphen/>
        <w:t>randen zijn echter in 1989 vernieuwd. De Prestant 8' staat van C-g1 in het front. Het groot octaaf van de Bourdon 16' is van hout, het overige labiaalpijpwerk van metaal. De beide tongwer</w:t>
        <w:softHyphen/>
        <w:t>ken bezitten eiken stevels en koppen. De Nassat 3', Carillon D 3 st. en Vox Humana 8' van het Bovenwerk, zijn in 1989 geheel nieuw gemaakt naar voorbeeld van de orgels te Bellingwolde (1792) en Warffum (1812). De Prestant 4' staat van C-h in het front; de binnenpijpen zijn tot en met f2 van Freytag, voor het vervolg werd gebruik gemaakt van de oude Salicionaal 4' van Van Oeckelen. De kernen van het Freytag-pijpwerk zijn vrijwel onbe</w:t>
        <w:softHyphen/>
        <w:t>schadigd gebleven en bevatten dan ook vrijwel geen kernsteken.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