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A402" w14:textId="09A3B7F8" w:rsidR="00FF3C68" w:rsidRDefault="00FB35D8">
      <w:pPr>
        <w:pStyle w:val="Heading1"/>
      </w:pPr>
      <w:proofErr w:type="gramStart"/>
      <w:r>
        <w:t>Voorst /</w:t>
      </w:r>
      <w:proofErr w:type="gramEnd"/>
      <w:r>
        <w:t xml:space="preserve"> 1843</w:t>
      </w:r>
    </w:p>
    <w:p w14:paraId="4499BEB0" w14:textId="77777777" w:rsidR="00FF3C68" w:rsidRDefault="00FB35D8">
      <w:pPr>
        <w:pStyle w:val="Heading2"/>
        <w:rPr>
          <w:i w:val="0"/>
          <w:iCs/>
        </w:rPr>
      </w:pPr>
      <w:r>
        <w:rPr>
          <w:i w:val="0"/>
          <w:iCs/>
        </w:rPr>
        <w:t>Hervormde Kerk</w:t>
      </w:r>
    </w:p>
    <w:p w14:paraId="5935373C" w14:textId="77777777" w:rsidR="00FF3C68" w:rsidRPr="00425692" w:rsidRDefault="00FF3C68">
      <w:pPr>
        <w:pStyle w:val="T1"/>
        <w:jc w:val="left"/>
        <w:rPr>
          <w:i/>
          <w:iCs/>
          <w:lang w:val="sv-SE"/>
        </w:rPr>
      </w:pPr>
    </w:p>
    <w:p w14:paraId="6994D5B5" w14:textId="77777777" w:rsidR="00FF3C68" w:rsidRDefault="00FB35D8">
      <w:pPr>
        <w:pStyle w:val="T1"/>
        <w:jc w:val="left"/>
        <w:rPr>
          <w:i/>
          <w:iCs/>
          <w:lang w:val="nl-NL"/>
        </w:rPr>
      </w:pPr>
      <w:r>
        <w:rPr>
          <w:i/>
          <w:iCs/>
          <w:lang w:val="nl-NL"/>
        </w:rPr>
        <w:t>De kerk bestaat uit een 12e-eeuwse tufstenen toren en een schip en koor uit de 15e eeuw. In 1843 werden aan de kerk herstellingen verricht. De oorspronkelijk aanwezige kruisribgewelven zijn alleen in de zijbeuken bewaard gebleven. Middenschip en koor worden overdekt door een houten koofplafond. Preekstoel met doophek uit het midden van de 17e eeuw.</w:t>
      </w:r>
    </w:p>
    <w:p w14:paraId="0DD76396" w14:textId="77777777" w:rsidR="00FF3C68" w:rsidRDefault="00FF3C68">
      <w:pPr>
        <w:pStyle w:val="T1"/>
        <w:rPr>
          <w:lang w:val="nl-NL"/>
        </w:rPr>
      </w:pPr>
    </w:p>
    <w:p w14:paraId="1B143B60" w14:textId="77777777" w:rsidR="00FF3C68" w:rsidRPr="00425692" w:rsidRDefault="00FB35D8">
      <w:pPr>
        <w:pStyle w:val="T1"/>
        <w:rPr>
          <w:lang w:val="nl-NL"/>
        </w:rPr>
      </w:pPr>
      <w:r w:rsidRPr="00425692">
        <w:rPr>
          <w:lang w:val="nl-NL"/>
        </w:rPr>
        <w:t>Kas: 1843</w:t>
      </w:r>
    </w:p>
    <w:p w14:paraId="72368918" w14:textId="77777777" w:rsidR="00FF3C68" w:rsidRPr="00425692" w:rsidRDefault="00FF3C68">
      <w:pPr>
        <w:pStyle w:val="T1"/>
        <w:rPr>
          <w:lang w:val="nl-NL"/>
        </w:rPr>
      </w:pPr>
    </w:p>
    <w:p w14:paraId="313658E7" w14:textId="77777777" w:rsidR="00FF3C68" w:rsidRDefault="00FB35D8" w:rsidP="00425692">
      <w:pPr>
        <w:pStyle w:val="Heading2"/>
      </w:pPr>
      <w:proofErr w:type="spellStart"/>
      <w:r>
        <w:t>Kunsthistorische</w:t>
      </w:r>
      <w:proofErr w:type="spellEnd"/>
      <w:r>
        <w:t xml:space="preserve"> </w:t>
      </w:r>
      <w:bookmarkStart w:id="0" w:name="_GoBack"/>
      <w:bookmarkEnd w:id="0"/>
      <w:r>
        <w:t>aspecten</w:t>
      </w:r>
    </w:p>
    <w:p w14:paraId="0CFD6113" w14:textId="77777777" w:rsidR="00FF3C68" w:rsidRDefault="00FB35D8">
      <w:pPr>
        <w:pStyle w:val="T2Kunst"/>
        <w:jc w:val="left"/>
        <w:rPr>
          <w:lang w:val="nl-NL"/>
        </w:rPr>
      </w:pPr>
      <w:r>
        <w:rPr>
          <w:lang w:val="nl-NL"/>
        </w:rPr>
        <w:t xml:space="preserve">Een typerend </w:t>
      </w:r>
      <w:proofErr w:type="spellStart"/>
      <w:r>
        <w:rPr>
          <w:lang w:val="nl-NL"/>
        </w:rPr>
        <w:t>Naber</w:t>
      </w:r>
      <w:proofErr w:type="spellEnd"/>
      <w:r>
        <w:rPr>
          <w:lang w:val="nl-NL"/>
        </w:rPr>
        <w:t xml:space="preserve">-orgel met vijfdelige opbouw met drie ronde torens en gedeelde vlakke tussenvelden. Wat vooral opvalt is de behandeling van de kappen van de torens. Deze waren bij de iets oudere </w:t>
      </w:r>
      <w:proofErr w:type="spellStart"/>
      <w:r>
        <w:rPr>
          <w:lang w:val="nl-NL"/>
        </w:rPr>
        <w:t>Naber</w:t>
      </w:r>
      <w:proofErr w:type="spellEnd"/>
      <w:r>
        <w:rPr>
          <w:lang w:val="nl-NL"/>
        </w:rPr>
        <w:t xml:space="preserve">-orgels, bijvoorbeeld Arnhem, Koepelkerk (1842) en Kampen, Lutherse Kerk (1843), bovenin voorzien van een bescheiden acanthus-decoratie op de plaats waar bij de nog oudere instrumenten (type Bredevoort, 1834, Raalte/Warnsveld, 1836; deel 1819-1840, 305-307 en 343-345) tandlijsten waren aangebracht. Hier in Voorst nemen de acanthusbladeren vrijwel de gehele torenkap in, zij het alleen frontaal. Slechts de smalle onder- en </w:t>
      </w:r>
      <w:proofErr w:type="spellStart"/>
      <w:r>
        <w:rPr>
          <w:lang w:val="nl-NL"/>
        </w:rPr>
        <w:t>bovenlijsten</w:t>
      </w:r>
      <w:proofErr w:type="spellEnd"/>
      <w:r>
        <w:rPr>
          <w:lang w:val="nl-NL"/>
        </w:rPr>
        <w:t xml:space="preserve"> blijven vrij. Zo dominerend heeft </w:t>
      </w:r>
      <w:proofErr w:type="spellStart"/>
      <w:r>
        <w:rPr>
          <w:lang w:val="nl-NL"/>
        </w:rPr>
        <w:t>Naber</w:t>
      </w:r>
      <w:proofErr w:type="spellEnd"/>
      <w:r>
        <w:rPr>
          <w:lang w:val="nl-NL"/>
        </w:rPr>
        <w:t xml:space="preserve"> zijn acanthus-decoratie verder niet gemaakt. De blinderingen met hun bladvoluten lijken sterk op die in de Lutherse Kerk in Kampen, met uitzondering van het snijwerk boven de tussenvelden dat een variant te zien geeft van wat op dezelfde plaats in Bredevoort en Warnsveld is aangebracht. Evenals in Kampen is de V-vorm van de scheiding tussen de etages van de velden niet zeer uitgesproken. De vleugelstukken lijken een iets gecompliceerde variant van die in de Hervormde Kerk te Etten. Op de middentoren een wapen (Schimmelpenninck van der </w:t>
      </w:r>
      <w:proofErr w:type="spellStart"/>
      <w:r>
        <w:rPr>
          <w:lang w:val="nl-NL"/>
        </w:rPr>
        <w:t>Oye</w:t>
      </w:r>
      <w:proofErr w:type="spellEnd"/>
      <w:r>
        <w:rPr>
          <w:lang w:val="nl-NL"/>
        </w:rPr>
        <w:t xml:space="preserve">), op de zijtorens muziekinstrumententrofeeën, die </w:t>
      </w:r>
      <w:proofErr w:type="spellStart"/>
      <w:r>
        <w:rPr>
          <w:lang w:val="nl-NL"/>
        </w:rPr>
        <w:t>Naber</w:t>
      </w:r>
      <w:proofErr w:type="spellEnd"/>
      <w:r>
        <w:rPr>
          <w:lang w:val="nl-NL"/>
        </w:rPr>
        <w:t xml:space="preserve"> hier vermoedelijk voor het eerst toepast. </w:t>
      </w:r>
    </w:p>
    <w:p w14:paraId="6F81D07E" w14:textId="77777777" w:rsidR="00FF3C68" w:rsidRDefault="00FF3C68">
      <w:pPr>
        <w:pStyle w:val="T1"/>
        <w:rPr>
          <w:lang w:val="nl-NL"/>
        </w:rPr>
      </w:pPr>
    </w:p>
    <w:p w14:paraId="6228739F" w14:textId="77777777" w:rsidR="00FF3C68" w:rsidRDefault="00FB35D8">
      <w:pPr>
        <w:pStyle w:val="T3Lit"/>
        <w:rPr>
          <w:b/>
          <w:bCs/>
          <w:lang w:val="nl-NL"/>
        </w:rPr>
      </w:pPr>
      <w:r>
        <w:rPr>
          <w:b/>
          <w:bCs/>
          <w:lang w:val="nl-NL"/>
        </w:rPr>
        <w:t>Literatuur</w:t>
      </w:r>
    </w:p>
    <w:p w14:paraId="44E892B9" w14:textId="77777777" w:rsidR="00FF3C68" w:rsidRDefault="00FB35D8">
      <w:pPr>
        <w:pStyle w:val="T3Lit"/>
        <w:rPr>
          <w:lang w:val="nl-NL"/>
        </w:rPr>
      </w:pPr>
      <w:r>
        <w:rPr>
          <w:i/>
          <w:lang w:val="nl-NL"/>
        </w:rPr>
        <w:t xml:space="preserve">Boekzaal </w:t>
      </w:r>
      <w:r>
        <w:rPr>
          <w:lang w:val="nl-NL"/>
        </w:rPr>
        <w:t>1843B, 821-822.</w:t>
      </w:r>
    </w:p>
    <w:p w14:paraId="295195A1" w14:textId="77777777" w:rsidR="00FF3C68" w:rsidRPr="00425692" w:rsidRDefault="00FB35D8">
      <w:pPr>
        <w:pStyle w:val="T3Lit"/>
        <w:rPr>
          <w:lang w:val="sv-SE"/>
        </w:rPr>
      </w:pPr>
      <w:r w:rsidRPr="00425692">
        <w:rPr>
          <w:lang w:val="nl-NL"/>
        </w:rPr>
        <w:t xml:space="preserve">Maarten Seijbel, </w:t>
      </w:r>
      <w:r w:rsidRPr="00425692">
        <w:rPr>
          <w:i/>
          <w:lang w:val="nl-NL"/>
        </w:rPr>
        <w:t>Zes eeuwen Veluwse Orgels</w:t>
      </w:r>
      <w:r w:rsidRPr="00425692">
        <w:rPr>
          <w:lang w:val="nl-NL"/>
        </w:rPr>
        <w:t xml:space="preserve">. </w:t>
      </w:r>
      <w:r w:rsidRPr="00425692">
        <w:rPr>
          <w:lang w:val="sv-SE"/>
        </w:rPr>
        <w:t>Zaltbommel, 1975, 112-113.</w:t>
      </w:r>
    </w:p>
    <w:p w14:paraId="39E613D6" w14:textId="77777777" w:rsidR="00FF3C68" w:rsidRPr="00425692" w:rsidRDefault="00FF3C68">
      <w:pPr>
        <w:pStyle w:val="T3Lit"/>
        <w:rPr>
          <w:lang w:val="sv-SE"/>
        </w:rPr>
      </w:pPr>
    </w:p>
    <w:p w14:paraId="4A93C41F" w14:textId="77777777" w:rsidR="00FF3C68" w:rsidRPr="00425692" w:rsidRDefault="00FB35D8">
      <w:pPr>
        <w:pStyle w:val="T3Lit"/>
        <w:rPr>
          <w:lang w:val="sv-SE"/>
        </w:rPr>
      </w:pPr>
      <w:r w:rsidRPr="00425692">
        <w:rPr>
          <w:lang w:val="sv-SE"/>
        </w:rPr>
        <w:t>Monumentnummer 38044</w:t>
      </w:r>
    </w:p>
    <w:p w14:paraId="21D7A8C3" w14:textId="77777777" w:rsidR="00FF3C68" w:rsidRPr="00425692" w:rsidRDefault="00FB35D8">
      <w:pPr>
        <w:pStyle w:val="T3Lit"/>
        <w:rPr>
          <w:lang w:val="sv-SE"/>
        </w:rPr>
      </w:pPr>
      <w:r w:rsidRPr="00425692">
        <w:rPr>
          <w:lang w:val="sv-SE"/>
        </w:rPr>
        <w:t>Orgelnummer 1578</w:t>
      </w:r>
    </w:p>
    <w:p w14:paraId="69720FF6" w14:textId="77777777" w:rsidR="00FF3C68" w:rsidRPr="00425692" w:rsidRDefault="00FF3C68">
      <w:pPr>
        <w:pStyle w:val="T1"/>
        <w:rPr>
          <w:lang w:val="sv-SE"/>
        </w:rPr>
      </w:pPr>
    </w:p>
    <w:p w14:paraId="57DB4960" w14:textId="77777777" w:rsidR="00FF3C68" w:rsidRDefault="00FB35D8">
      <w:pPr>
        <w:pStyle w:val="Heading2"/>
        <w:rPr>
          <w:i w:val="0"/>
          <w:iCs/>
        </w:rPr>
      </w:pPr>
      <w:r>
        <w:rPr>
          <w:i w:val="0"/>
          <w:iCs/>
        </w:rPr>
        <w:t>Historische gegevens</w:t>
      </w:r>
    </w:p>
    <w:p w14:paraId="129ACF21" w14:textId="77777777" w:rsidR="00FF3C68" w:rsidRPr="00425692" w:rsidRDefault="00FF3C68">
      <w:pPr>
        <w:pStyle w:val="T1"/>
        <w:rPr>
          <w:lang w:val="sv-SE"/>
        </w:rPr>
      </w:pPr>
    </w:p>
    <w:p w14:paraId="5808E400" w14:textId="77777777" w:rsidR="00FF3C68" w:rsidRPr="00425692" w:rsidRDefault="00FB35D8">
      <w:pPr>
        <w:pStyle w:val="T1"/>
        <w:rPr>
          <w:lang w:val="sv-SE"/>
        </w:rPr>
      </w:pPr>
      <w:r w:rsidRPr="00425692">
        <w:rPr>
          <w:lang w:val="sv-SE"/>
        </w:rPr>
        <w:t>Bouwer</w:t>
      </w:r>
    </w:p>
    <w:p w14:paraId="681FCAFC" w14:textId="77777777" w:rsidR="00FF3C68" w:rsidRPr="00425692" w:rsidRDefault="00FB35D8">
      <w:pPr>
        <w:pStyle w:val="T1"/>
        <w:rPr>
          <w:lang w:val="sv-SE"/>
        </w:rPr>
      </w:pPr>
      <w:r w:rsidRPr="00425692">
        <w:rPr>
          <w:lang w:val="sv-SE"/>
        </w:rPr>
        <w:t>C.F.A. Naber</w:t>
      </w:r>
    </w:p>
    <w:p w14:paraId="26BB1079" w14:textId="77777777" w:rsidR="00FF3C68" w:rsidRPr="00425692" w:rsidRDefault="00FF3C68">
      <w:pPr>
        <w:pStyle w:val="T1"/>
        <w:rPr>
          <w:lang w:val="sv-SE"/>
        </w:rPr>
      </w:pPr>
    </w:p>
    <w:p w14:paraId="7173AD26" w14:textId="77777777" w:rsidR="00FF3C68" w:rsidRPr="00425692" w:rsidRDefault="00FB35D8">
      <w:pPr>
        <w:pStyle w:val="T1"/>
        <w:rPr>
          <w:lang w:val="sv-SE"/>
        </w:rPr>
      </w:pPr>
      <w:r w:rsidRPr="00425692">
        <w:rPr>
          <w:lang w:val="sv-SE"/>
        </w:rPr>
        <w:t>Jaar van oplevering</w:t>
      </w:r>
    </w:p>
    <w:p w14:paraId="7DC677AC" w14:textId="77777777" w:rsidR="00FF3C68" w:rsidRPr="00425692" w:rsidRDefault="00FB35D8">
      <w:pPr>
        <w:pStyle w:val="T1"/>
        <w:rPr>
          <w:lang w:val="sv-SE"/>
        </w:rPr>
      </w:pPr>
      <w:r w:rsidRPr="00425692">
        <w:rPr>
          <w:lang w:val="sv-SE"/>
        </w:rPr>
        <w:t>1843</w:t>
      </w:r>
    </w:p>
    <w:p w14:paraId="41E9FED7" w14:textId="77777777" w:rsidR="00FF3C68" w:rsidRPr="00425692" w:rsidRDefault="00FF3C68">
      <w:pPr>
        <w:pStyle w:val="T1"/>
        <w:rPr>
          <w:lang w:val="sv-SE"/>
        </w:rPr>
      </w:pPr>
    </w:p>
    <w:p w14:paraId="48E25399" w14:textId="77777777" w:rsidR="00FF3C68" w:rsidRPr="00425692" w:rsidRDefault="00FB35D8">
      <w:pPr>
        <w:pStyle w:val="T1"/>
        <w:rPr>
          <w:lang w:val="sv-SE"/>
        </w:rPr>
      </w:pPr>
      <w:r w:rsidRPr="00425692">
        <w:rPr>
          <w:lang w:val="sv-SE"/>
        </w:rPr>
        <w:t>J. Proper 1914</w:t>
      </w:r>
    </w:p>
    <w:p w14:paraId="2DADF817" w14:textId="77777777" w:rsidR="00FF3C68" w:rsidRPr="00425692" w:rsidRDefault="00FB35D8">
      <w:pPr>
        <w:pStyle w:val="T1"/>
        <w:rPr>
          <w:lang w:val="sv-SE"/>
        </w:rPr>
      </w:pPr>
      <w:r w:rsidRPr="00425692">
        <w:rPr>
          <w:lang w:val="sv-SE"/>
        </w:rPr>
        <w:t>.</w:t>
      </w:r>
      <w:r w:rsidRPr="00425692">
        <w:rPr>
          <w:lang w:val="sv-SE"/>
        </w:rPr>
        <w:tab/>
        <w:t>orgel hersteld</w:t>
      </w:r>
    </w:p>
    <w:p w14:paraId="0613463A" w14:textId="77777777" w:rsidR="00FF3C68" w:rsidRPr="00425692" w:rsidRDefault="00FF3C68">
      <w:pPr>
        <w:pStyle w:val="T1"/>
        <w:rPr>
          <w:lang w:val="sv-SE"/>
        </w:rPr>
      </w:pPr>
    </w:p>
    <w:p w14:paraId="2C79D791" w14:textId="77777777" w:rsidR="00FF3C68" w:rsidRDefault="00FB35D8">
      <w:pPr>
        <w:pStyle w:val="T1"/>
        <w:rPr>
          <w:lang w:val="nl-NL"/>
        </w:rPr>
      </w:pPr>
      <w:r>
        <w:rPr>
          <w:lang w:val="nl-NL"/>
        </w:rPr>
        <w:lastRenderedPageBreak/>
        <w:t>B. Koch 1946</w:t>
      </w:r>
    </w:p>
    <w:p w14:paraId="594FADDD" w14:textId="77777777" w:rsidR="00FF3C68" w:rsidRDefault="00FB35D8">
      <w:pPr>
        <w:pStyle w:val="T1"/>
        <w:rPr>
          <w:lang w:val="nl-NL"/>
        </w:rPr>
      </w:pPr>
      <w:r>
        <w:rPr>
          <w:lang w:val="nl-NL"/>
        </w:rPr>
        <w:t>.</w:t>
      </w:r>
      <w:r>
        <w:rPr>
          <w:lang w:val="nl-NL"/>
        </w:rPr>
        <w:tab/>
      </w:r>
      <w:proofErr w:type="gramStart"/>
      <w:r>
        <w:rPr>
          <w:lang w:val="nl-NL"/>
        </w:rPr>
        <w:t>orgel</w:t>
      </w:r>
      <w:proofErr w:type="gramEnd"/>
      <w:r>
        <w:rPr>
          <w:lang w:val="nl-NL"/>
        </w:rPr>
        <w:t xml:space="preserve"> hersteld na oorlogsschade</w:t>
      </w:r>
    </w:p>
    <w:p w14:paraId="60CDEF78" w14:textId="77777777" w:rsidR="00FF3C68" w:rsidRDefault="00FB35D8">
      <w:pPr>
        <w:pStyle w:val="T1"/>
        <w:rPr>
          <w:lang w:val="nl-NL"/>
        </w:rPr>
      </w:pPr>
      <w:r>
        <w:rPr>
          <w:lang w:val="nl-NL"/>
        </w:rPr>
        <w:t>.</w:t>
      </w:r>
      <w:r>
        <w:rPr>
          <w:lang w:val="nl-NL"/>
        </w:rPr>
        <w:tab/>
      </w:r>
      <w:proofErr w:type="gramStart"/>
      <w:r>
        <w:rPr>
          <w:lang w:val="nl-NL"/>
        </w:rPr>
        <w:t>beschadigde</w:t>
      </w:r>
      <w:proofErr w:type="gramEnd"/>
      <w:r>
        <w:rPr>
          <w:lang w:val="nl-NL"/>
        </w:rPr>
        <w:t xml:space="preserve"> bekers Trompet 8’ vernieuwd</w:t>
      </w:r>
    </w:p>
    <w:p w14:paraId="5768B5EB" w14:textId="77777777" w:rsidR="00FF3C68" w:rsidRDefault="00FF3C68">
      <w:pPr>
        <w:pStyle w:val="T1"/>
        <w:rPr>
          <w:lang w:val="nl-NL"/>
        </w:rPr>
      </w:pPr>
    </w:p>
    <w:p w14:paraId="6717E4B7" w14:textId="77777777" w:rsidR="00FF3C68" w:rsidRPr="00425692" w:rsidRDefault="00FB35D8">
      <w:pPr>
        <w:pStyle w:val="T1"/>
        <w:rPr>
          <w:lang w:val="sv-SE"/>
        </w:rPr>
      </w:pPr>
      <w:r w:rsidRPr="00425692">
        <w:rPr>
          <w:lang w:val="sv-SE"/>
        </w:rPr>
        <w:t>Gebr. Reil 1982</w:t>
      </w:r>
    </w:p>
    <w:p w14:paraId="1AAE3359" w14:textId="77777777" w:rsidR="00FF3C68" w:rsidRPr="00425692" w:rsidRDefault="00FB35D8">
      <w:pPr>
        <w:pStyle w:val="T1"/>
        <w:rPr>
          <w:lang w:val="sv-SE"/>
        </w:rPr>
      </w:pPr>
      <w:r w:rsidRPr="00425692">
        <w:rPr>
          <w:lang w:val="sv-SE"/>
        </w:rPr>
        <w:t>.</w:t>
      </w:r>
      <w:r w:rsidRPr="00425692">
        <w:rPr>
          <w:lang w:val="sv-SE"/>
        </w:rPr>
        <w:tab/>
        <w:t>restauratie</w:t>
      </w:r>
    </w:p>
    <w:p w14:paraId="27F4A245" w14:textId="77777777" w:rsidR="00FF3C68" w:rsidRDefault="00FB35D8">
      <w:pPr>
        <w:pStyle w:val="T1"/>
        <w:rPr>
          <w:lang w:val="nl-NL"/>
        </w:rPr>
      </w:pPr>
      <w:r w:rsidRPr="00425692">
        <w:rPr>
          <w:lang w:val="sv-SE"/>
        </w:rPr>
        <w:t>.</w:t>
      </w:r>
      <w:r w:rsidRPr="00425692">
        <w:rPr>
          <w:lang w:val="sv-SE"/>
        </w:rPr>
        <w:tab/>
      </w:r>
      <w:proofErr w:type="gramStart"/>
      <w:r>
        <w:rPr>
          <w:lang w:val="nl-NL"/>
        </w:rPr>
        <w:t>windlade</w:t>
      </w:r>
      <w:proofErr w:type="gramEnd"/>
      <w:r>
        <w:rPr>
          <w:lang w:val="nl-NL"/>
        </w:rPr>
        <w:t xml:space="preserve"> van hechthouten platen voorzien, met behoud van de oude </w:t>
      </w:r>
      <w:proofErr w:type="spellStart"/>
      <w:r>
        <w:rPr>
          <w:lang w:val="nl-NL"/>
        </w:rPr>
        <w:t>sponsels</w:t>
      </w:r>
      <w:proofErr w:type="spellEnd"/>
    </w:p>
    <w:p w14:paraId="6F01E8BC" w14:textId="77777777" w:rsidR="00FF3C68" w:rsidRDefault="00FB35D8">
      <w:pPr>
        <w:pStyle w:val="T1"/>
        <w:rPr>
          <w:lang w:val="nl-NL"/>
        </w:rPr>
      </w:pPr>
      <w:r w:rsidRPr="00425692">
        <w:rPr>
          <w:lang w:val="sv-SE"/>
        </w:rPr>
        <w:t>.</w:t>
      </w:r>
      <w:r w:rsidRPr="00425692">
        <w:rPr>
          <w:lang w:val="sv-SE"/>
        </w:rPr>
        <w:tab/>
      </w:r>
      <w:proofErr w:type="gramStart"/>
      <w:r>
        <w:rPr>
          <w:lang w:val="nl-NL"/>
        </w:rPr>
        <w:t>registertrekker</w:t>
      </w:r>
      <w:proofErr w:type="gramEnd"/>
      <w:r>
        <w:rPr>
          <w:lang w:val="nl-NL"/>
        </w:rPr>
        <w:t xml:space="preserve"> Bourdon 16’van twee standen voorzien</w:t>
      </w:r>
    </w:p>
    <w:p w14:paraId="374A72ED" w14:textId="77777777" w:rsidR="00FF3C68" w:rsidRDefault="00FB35D8">
      <w:pPr>
        <w:pStyle w:val="T1"/>
      </w:pPr>
      <w:r>
        <w:t>.</w:t>
      </w:r>
      <w:r>
        <w:tab/>
      </w:r>
      <w:proofErr w:type="spellStart"/>
      <w:r>
        <w:t>enige</w:t>
      </w:r>
      <w:proofErr w:type="spellEnd"/>
      <w:r>
        <w:t xml:space="preserve"> </w:t>
      </w:r>
      <w:proofErr w:type="spellStart"/>
      <w:r>
        <w:t>Trompetbekers</w:t>
      </w:r>
      <w:proofErr w:type="spellEnd"/>
      <w:r>
        <w:t xml:space="preserve"> </w:t>
      </w:r>
      <w:proofErr w:type="spellStart"/>
      <w:r>
        <w:t>verlengd</w:t>
      </w:r>
      <w:proofErr w:type="spellEnd"/>
    </w:p>
    <w:p w14:paraId="3E27C70A" w14:textId="77777777" w:rsidR="00FF3C68" w:rsidRDefault="00FF3C68">
      <w:pPr>
        <w:pStyle w:val="T1"/>
      </w:pPr>
    </w:p>
    <w:p w14:paraId="170B956A" w14:textId="77777777" w:rsidR="00FF3C68" w:rsidRDefault="00FB35D8">
      <w:pPr>
        <w:pStyle w:val="Heading2"/>
        <w:rPr>
          <w:i w:val="0"/>
          <w:iCs/>
        </w:rPr>
      </w:pPr>
      <w:r>
        <w:rPr>
          <w:i w:val="0"/>
          <w:iCs/>
        </w:rPr>
        <w:t>Technische gegevens</w:t>
      </w:r>
    </w:p>
    <w:p w14:paraId="326FC1A0" w14:textId="77777777" w:rsidR="00FF3C68" w:rsidRDefault="00FF3C68">
      <w:pPr>
        <w:pStyle w:val="T1"/>
      </w:pPr>
    </w:p>
    <w:p w14:paraId="0463E0DC" w14:textId="77777777" w:rsidR="00FF3C68" w:rsidRDefault="00FB35D8">
      <w:pPr>
        <w:pStyle w:val="T1"/>
      </w:pPr>
      <w:proofErr w:type="spellStart"/>
      <w:r>
        <w:t>Werkindeling</w:t>
      </w:r>
      <w:proofErr w:type="spellEnd"/>
    </w:p>
    <w:p w14:paraId="06B60136" w14:textId="77777777" w:rsidR="00FF3C68" w:rsidRDefault="00FB35D8">
      <w:pPr>
        <w:pStyle w:val="T1"/>
      </w:pPr>
      <w:proofErr w:type="spellStart"/>
      <w:r>
        <w:t>manuaal</w:t>
      </w:r>
      <w:proofErr w:type="spellEnd"/>
      <w:r>
        <w:t xml:space="preserve">, </w:t>
      </w:r>
      <w:proofErr w:type="spellStart"/>
      <w:r>
        <w:t>aangehangen</w:t>
      </w:r>
      <w:proofErr w:type="spellEnd"/>
      <w:r>
        <w:t xml:space="preserve"> </w:t>
      </w:r>
      <w:proofErr w:type="spellStart"/>
      <w:r>
        <w:t>pedaal</w:t>
      </w:r>
      <w:proofErr w:type="spellEnd"/>
    </w:p>
    <w:p w14:paraId="0F592B51" w14:textId="77777777" w:rsidR="00FF3C68" w:rsidRDefault="00FF3C68">
      <w:pPr>
        <w:pStyle w:val="T1"/>
      </w:pPr>
    </w:p>
    <w:p w14:paraId="6ADF8CD4" w14:textId="77777777" w:rsidR="00FF3C68" w:rsidRDefault="00FB35D8">
      <w:pPr>
        <w:pStyle w:val="T1"/>
      </w:pPr>
      <w:proofErr w:type="spellStart"/>
      <w:r>
        <w:t>Dispositie</w:t>
      </w:r>
      <w:proofErr w:type="spellEnd"/>
    </w:p>
    <w:tbl>
      <w:tblPr>
        <w:tblW w:w="0" w:type="auto"/>
        <w:tblLayout w:type="fixed"/>
        <w:tblLook w:val="0000" w:firstRow="0" w:lastRow="0" w:firstColumn="0" w:lastColumn="0" w:noHBand="0" w:noVBand="0"/>
      </w:tblPr>
      <w:tblGrid>
        <w:gridCol w:w="1384"/>
        <w:gridCol w:w="851"/>
      </w:tblGrid>
      <w:tr w:rsidR="00FF3C68" w14:paraId="4D6EA773" w14:textId="77777777">
        <w:tc>
          <w:tcPr>
            <w:tcW w:w="1384" w:type="dxa"/>
          </w:tcPr>
          <w:p w14:paraId="1D2A8905" w14:textId="77777777" w:rsidR="00FF3C68" w:rsidRDefault="00FB35D8">
            <w:pPr>
              <w:pStyle w:val="T4dispositie"/>
              <w:rPr>
                <w:i/>
                <w:iCs/>
              </w:rPr>
            </w:pPr>
            <w:proofErr w:type="spellStart"/>
            <w:r>
              <w:rPr>
                <w:i/>
                <w:iCs/>
              </w:rPr>
              <w:t>Manuaal</w:t>
            </w:r>
            <w:proofErr w:type="spellEnd"/>
          </w:p>
          <w:p w14:paraId="03D73CCB" w14:textId="77777777" w:rsidR="00FF3C68" w:rsidRDefault="00FB35D8">
            <w:pPr>
              <w:pStyle w:val="T4dispositie"/>
            </w:pPr>
            <w:r>
              <w:t xml:space="preserve">12 </w:t>
            </w:r>
            <w:proofErr w:type="spellStart"/>
            <w:r>
              <w:t>stemmen</w:t>
            </w:r>
            <w:proofErr w:type="spellEnd"/>
          </w:p>
          <w:p w14:paraId="7343DF28" w14:textId="77777777" w:rsidR="00FF3C68" w:rsidRDefault="00FF3C68">
            <w:pPr>
              <w:pStyle w:val="T4dispositie"/>
            </w:pPr>
          </w:p>
          <w:p w14:paraId="0DD4F034" w14:textId="77777777" w:rsidR="00FF3C68" w:rsidRDefault="00FB35D8">
            <w:pPr>
              <w:pStyle w:val="T4dispositie"/>
            </w:pPr>
            <w:r>
              <w:t>Bourdon</w:t>
            </w:r>
          </w:p>
          <w:p w14:paraId="3D0FB94E" w14:textId="77777777" w:rsidR="00FF3C68" w:rsidRDefault="00FB35D8">
            <w:pPr>
              <w:pStyle w:val="T4dispositie"/>
            </w:pPr>
            <w:proofErr w:type="spellStart"/>
            <w:r>
              <w:t>Prestant</w:t>
            </w:r>
            <w:proofErr w:type="spellEnd"/>
          </w:p>
          <w:p w14:paraId="1F44CAF1" w14:textId="77777777" w:rsidR="00FF3C68" w:rsidRDefault="00FB35D8">
            <w:pPr>
              <w:pStyle w:val="T4dispositie"/>
            </w:pPr>
            <w:proofErr w:type="spellStart"/>
            <w:r>
              <w:t>Holpijp</w:t>
            </w:r>
            <w:proofErr w:type="spellEnd"/>
          </w:p>
          <w:p w14:paraId="2D2A3EB8" w14:textId="77777777" w:rsidR="00FF3C68" w:rsidRDefault="00FB35D8">
            <w:pPr>
              <w:pStyle w:val="T4dispositie"/>
            </w:pPr>
            <w:proofErr w:type="spellStart"/>
            <w:r>
              <w:t>Octaaf</w:t>
            </w:r>
            <w:proofErr w:type="spellEnd"/>
          </w:p>
          <w:p w14:paraId="48B4D10A" w14:textId="77777777" w:rsidR="00FF3C68" w:rsidRDefault="00FB35D8">
            <w:pPr>
              <w:pStyle w:val="T4dispositie"/>
            </w:pPr>
            <w:proofErr w:type="spellStart"/>
            <w:r>
              <w:t>Nachthoorn</w:t>
            </w:r>
            <w:proofErr w:type="spellEnd"/>
          </w:p>
          <w:p w14:paraId="5BC44F50" w14:textId="77777777" w:rsidR="00FF3C68" w:rsidRDefault="00FB35D8">
            <w:pPr>
              <w:pStyle w:val="T4dispositie"/>
            </w:pPr>
            <w:r>
              <w:t xml:space="preserve">Ged. </w:t>
            </w:r>
            <w:proofErr w:type="spellStart"/>
            <w:r>
              <w:t>Fluit</w:t>
            </w:r>
            <w:proofErr w:type="spellEnd"/>
          </w:p>
          <w:p w14:paraId="1523925F" w14:textId="77777777" w:rsidR="00FF3C68" w:rsidRDefault="00FB35D8">
            <w:pPr>
              <w:pStyle w:val="T4dispositie"/>
            </w:pPr>
            <w:r>
              <w:t>Quint</w:t>
            </w:r>
          </w:p>
          <w:p w14:paraId="10B305FB" w14:textId="77777777" w:rsidR="00FF3C68" w:rsidRDefault="00FB35D8">
            <w:pPr>
              <w:pStyle w:val="T4dispositie"/>
            </w:pPr>
            <w:proofErr w:type="spellStart"/>
            <w:r>
              <w:t>Octaaf</w:t>
            </w:r>
            <w:proofErr w:type="spellEnd"/>
          </w:p>
          <w:p w14:paraId="3EF91BE4" w14:textId="77777777" w:rsidR="00FF3C68" w:rsidRDefault="00FB35D8">
            <w:pPr>
              <w:pStyle w:val="T4dispositie"/>
            </w:pPr>
            <w:proofErr w:type="spellStart"/>
            <w:r>
              <w:t>Woudfluit</w:t>
            </w:r>
            <w:proofErr w:type="spellEnd"/>
          </w:p>
          <w:p w14:paraId="75AFCC06" w14:textId="77777777" w:rsidR="00FF3C68" w:rsidRDefault="00FB35D8">
            <w:pPr>
              <w:pStyle w:val="T4dispositie"/>
            </w:pPr>
            <w:proofErr w:type="spellStart"/>
            <w:r>
              <w:t>Mixtuur</w:t>
            </w:r>
            <w:proofErr w:type="spellEnd"/>
            <w:r>
              <w:t xml:space="preserve"> B/D</w:t>
            </w:r>
          </w:p>
          <w:p w14:paraId="7432E5FB" w14:textId="77777777" w:rsidR="00FF3C68" w:rsidRDefault="00FB35D8">
            <w:pPr>
              <w:pStyle w:val="T4dispositie"/>
            </w:pPr>
            <w:r>
              <w:t>Cornet D</w:t>
            </w:r>
          </w:p>
          <w:p w14:paraId="5FADCC49" w14:textId="77777777" w:rsidR="00FF3C68" w:rsidRDefault="00FB35D8">
            <w:pPr>
              <w:pStyle w:val="T4dispositie"/>
            </w:pPr>
            <w:proofErr w:type="spellStart"/>
            <w:r>
              <w:t>Trompet</w:t>
            </w:r>
            <w:proofErr w:type="spellEnd"/>
            <w:r>
              <w:t xml:space="preserve"> B/D</w:t>
            </w:r>
          </w:p>
        </w:tc>
        <w:tc>
          <w:tcPr>
            <w:tcW w:w="851" w:type="dxa"/>
          </w:tcPr>
          <w:p w14:paraId="29830156" w14:textId="77777777" w:rsidR="00FF3C68" w:rsidRDefault="00FF3C68">
            <w:pPr>
              <w:pStyle w:val="T4dispositie"/>
            </w:pPr>
          </w:p>
          <w:p w14:paraId="21D6FA8A" w14:textId="77777777" w:rsidR="00FF3C68" w:rsidRDefault="00FF3C68">
            <w:pPr>
              <w:pStyle w:val="T4dispositie"/>
            </w:pPr>
          </w:p>
          <w:p w14:paraId="4F563FBF" w14:textId="77777777" w:rsidR="00FF3C68" w:rsidRDefault="00FF3C68">
            <w:pPr>
              <w:pStyle w:val="T4dispositie"/>
            </w:pPr>
          </w:p>
          <w:p w14:paraId="3AD86465" w14:textId="77777777" w:rsidR="00FF3C68" w:rsidRDefault="00FB35D8">
            <w:pPr>
              <w:pStyle w:val="T4dispositie"/>
            </w:pPr>
            <w:r>
              <w:t>16’</w:t>
            </w:r>
          </w:p>
          <w:p w14:paraId="1A9040A6" w14:textId="77777777" w:rsidR="00FF3C68" w:rsidRDefault="00FB35D8">
            <w:pPr>
              <w:pStyle w:val="T4dispositie"/>
            </w:pPr>
            <w:r>
              <w:t>8’</w:t>
            </w:r>
          </w:p>
          <w:p w14:paraId="2B0CDE7F" w14:textId="77777777" w:rsidR="00FF3C68" w:rsidRDefault="00FB35D8">
            <w:pPr>
              <w:pStyle w:val="T4dispositie"/>
            </w:pPr>
            <w:r>
              <w:t>8’</w:t>
            </w:r>
          </w:p>
          <w:p w14:paraId="27C07ED6" w14:textId="77777777" w:rsidR="00FF3C68" w:rsidRDefault="00FB35D8">
            <w:pPr>
              <w:pStyle w:val="T4dispositie"/>
            </w:pPr>
            <w:r>
              <w:t>4’</w:t>
            </w:r>
          </w:p>
          <w:p w14:paraId="1ECEA346" w14:textId="77777777" w:rsidR="00FF3C68" w:rsidRDefault="00FB35D8">
            <w:pPr>
              <w:pStyle w:val="T4dispositie"/>
            </w:pPr>
            <w:r>
              <w:t>4’</w:t>
            </w:r>
          </w:p>
          <w:p w14:paraId="785A6B80" w14:textId="77777777" w:rsidR="00FF3C68" w:rsidRDefault="00FB35D8">
            <w:pPr>
              <w:pStyle w:val="T4dispositie"/>
            </w:pPr>
            <w:r>
              <w:t>4’</w:t>
            </w:r>
          </w:p>
          <w:p w14:paraId="3FDAFABF" w14:textId="77777777" w:rsidR="00FF3C68" w:rsidRDefault="00FB35D8">
            <w:pPr>
              <w:pStyle w:val="T4dispositie"/>
            </w:pPr>
            <w:r>
              <w:t>3’</w:t>
            </w:r>
          </w:p>
          <w:p w14:paraId="4ED244EE" w14:textId="77777777" w:rsidR="00FF3C68" w:rsidRDefault="00FB35D8">
            <w:pPr>
              <w:pStyle w:val="T4dispositie"/>
            </w:pPr>
            <w:r>
              <w:t>2’</w:t>
            </w:r>
          </w:p>
          <w:p w14:paraId="73AB4C9A" w14:textId="77777777" w:rsidR="00FF3C68" w:rsidRDefault="00FB35D8">
            <w:pPr>
              <w:pStyle w:val="T4dispositie"/>
            </w:pPr>
            <w:r>
              <w:t>2’</w:t>
            </w:r>
          </w:p>
          <w:p w14:paraId="0DA6B09A" w14:textId="77777777" w:rsidR="00FF3C68" w:rsidRDefault="00FB35D8">
            <w:pPr>
              <w:pStyle w:val="T4dispositie"/>
            </w:pPr>
            <w:r>
              <w:t xml:space="preserve">3-6 </w:t>
            </w:r>
            <w:proofErr w:type="spellStart"/>
            <w:r>
              <w:t>st.</w:t>
            </w:r>
            <w:proofErr w:type="spellEnd"/>
          </w:p>
          <w:p w14:paraId="4ED1B2C6" w14:textId="77777777" w:rsidR="00FF3C68" w:rsidRDefault="00FB35D8">
            <w:pPr>
              <w:pStyle w:val="T4dispositie"/>
            </w:pPr>
            <w:r>
              <w:t xml:space="preserve">3 </w:t>
            </w:r>
            <w:proofErr w:type="spellStart"/>
            <w:r>
              <w:t>st.</w:t>
            </w:r>
            <w:proofErr w:type="spellEnd"/>
          </w:p>
          <w:p w14:paraId="5DC443EC" w14:textId="77777777" w:rsidR="00FF3C68" w:rsidRDefault="00FB35D8">
            <w:pPr>
              <w:pStyle w:val="T4dispositie"/>
            </w:pPr>
            <w:r>
              <w:t>8’</w:t>
            </w:r>
          </w:p>
        </w:tc>
      </w:tr>
    </w:tbl>
    <w:p w14:paraId="291AC424" w14:textId="77777777" w:rsidR="00FF3C68" w:rsidRDefault="00FF3C68">
      <w:pPr>
        <w:pStyle w:val="T1"/>
      </w:pPr>
    </w:p>
    <w:p w14:paraId="02E358FF" w14:textId="77777777" w:rsidR="00FF3C68" w:rsidRDefault="00FB35D8">
      <w:pPr>
        <w:pStyle w:val="T1"/>
      </w:pPr>
      <w:proofErr w:type="spellStart"/>
      <w:r>
        <w:t>Werktuiglijke</w:t>
      </w:r>
      <w:proofErr w:type="spellEnd"/>
      <w:r>
        <w:t xml:space="preserve"> registers</w:t>
      </w:r>
    </w:p>
    <w:p w14:paraId="66D9DFCA" w14:textId="77777777" w:rsidR="00FF3C68" w:rsidRDefault="00FB35D8">
      <w:pPr>
        <w:pStyle w:val="T1"/>
      </w:pPr>
      <w:proofErr w:type="spellStart"/>
      <w:r>
        <w:t>windlozing</w:t>
      </w:r>
      <w:proofErr w:type="spellEnd"/>
    </w:p>
    <w:p w14:paraId="4F6B2838" w14:textId="77777777" w:rsidR="00FF3C68" w:rsidRPr="00425692" w:rsidRDefault="00FB35D8">
      <w:pPr>
        <w:pStyle w:val="T1"/>
        <w:rPr>
          <w:lang w:val="sv-SE"/>
        </w:rPr>
      </w:pPr>
      <w:r w:rsidRPr="00425692">
        <w:rPr>
          <w:lang w:val="sv-SE"/>
        </w:rPr>
        <w:t>trede voor het uitschakelen van Octaaf 2’, Mixtuur, Cornet en Trompet</w:t>
      </w:r>
    </w:p>
    <w:p w14:paraId="5CF2C309" w14:textId="77777777" w:rsidR="00FF3C68" w:rsidRPr="00425692" w:rsidRDefault="00FF3C68">
      <w:pPr>
        <w:pStyle w:val="T1"/>
        <w:rPr>
          <w:lang w:val="sv-SE"/>
        </w:rPr>
      </w:pPr>
    </w:p>
    <w:p w14:paraId="6831102D" w14:textId="77777777" w:rsidR="00FF3C68" w:rsidRDefault="00FB35D8">
      <w:pPr>
        <w:pStyle w:val="T1"/>
      </w:pPr>
      <w:proofErr w:type="spellStart"/>
      <w:r>
        <w:t>Samenstelling</w:t>
      </w:r>
      <w:proofErr w:type="spellEnd"/>
      <w:r>
        <w:t xml:space="preserve"> </w:t>
      </w:r>
      <w:proofErr w:type="spellStart"/>
      <w:r>
        <w:t>vulstemmen</w:t>
      </w:r>
      <w:proofErr w:type="spellEnd"/>
    </w:p>
    <w:tbl>
      <w:tblPr>
        <w:tblW w:w="0" w:type="auto"/>
        <w:tblLayout w:type="fixed"/>
        <w:tblLook w:val="0000" w:firstRow="0" w:lastRow="0" w:firstColumn="0" w:lastColumn="0" w:noHBand="0" w:noVBand="0"/>
      </w:tblPr>
      <w:tblGrid>
        <w:gridCol w:w="1188"/>
        <w:gridCol w:w="720"/>
        <w:gridCol w:w="720"/>
        <w:gridCol w:w="900"/>
        <w:gridCol w:w="900"/>
      </w:tblGrid>
      <w:tr w:rsidR="00FF3C68" w14:paraId="3D3181B6" w14:textId="77777777">
        <w:tc>
          <w:tcPr>
            <w:tcW w:w="1188" w:type="dxa"/>
          </w:tcPr>
          <w:p w14:paraId="3D467B5E" w14:textId="77777777" w:rsidR="00FF3C68" w:rsidRDefault="00FB35D8">
            <w:pPr>
              <w:pStyle w:val="T1"/>
            </w:pPr>
            <w:proofErr w:type="spellStart"/>
            <w:r>
              <w:t>Mixtuur</w:t>
            </w:r>
            <w:proofErr w:type="spellEnd"/>
          </w:p>
        </w:tc>
        <w:tc>
          <w:tcPr>
            <w:tcW w:w="720" w:type="dxa"/>
          </w:tcPr>
          <w:p w14:paraId="53F7AA00" w14:textId="77777777" w:rsidR="00FF3C68" w:rsidRDefault="00FB35D8">
            <w:pPr>
              <w:pStyle w:val="T4dispositie"/>
            </w:pPr>
            <w:r>
              <w:t>C</w:t>
            </w:r>
          </w:p>
          <w:p w14:paraId="5F41AE92" w14:textId="77777777" w:rsidR="00FF3C68" w:rsidRDefault="00FB35D8">
            <w:pPr>
              <w:pStyle w:val="T4dispositie"/>
            </w:pPr>
            <w:r>
              <w:t>2</w:t>
            </w:r>
          </w:p>
          <w:p w14:paraId="75D2F871" w14:textId="77777777" w:rsidR="00FF3C68" w:rsidRDefault="00FB35D8">
            <w:pPr>
              <w:pStyle w:val="T4dispositie"/>
            </w:pPr>
            <w:r>
              <w:t>1 1/3</w:t>
            </w:r>
          </w:p>
          <w:p w14:paraId="39920C59" w14:textId="77777777" w:rsidR="00FF3C68" w:rsidRDefault="00FB35D8">
            <w:pPr>
              <w:pStyle w:val="T4dispositie"/>
            </w:pPr>
            <w:r>
              <w:t>1</w:t>
            </w:r>
          </w:p>
        </w:tc>
        <w:tc>
          <w:tcPr>
            <w:tcW w:w="720" w:type="dxa"/>
          </w:tcPr>
          <w:p w14:paraId="32F09191" w14:textId="77777777" w:rsidR="00FF3C68" w:rsidRDefault="00FB35D8">
            <w:pPr>
              <w:pStyle w:val="T4dispositie"/>
            </w:pPr>
            <w:r>
              <w:t>c</w:t>
            </w:r>
          </w:p>
          <w:p w14:paraId="520D3C58" w14:textId="77777777" w:rsidR="00FF3C68" w:rsidRDefault="00FB35D8">
            <w:pPr>
              <w:pStyle w:val="T4dispositie"/>
            </w:pPr>
            <w:r>
              <w:t>2 2/3</w:t>
            </w:r>
          </w:p>
          <w:p w14:paraId="60D0DF8C" w14:textId="77777777" w:rsidR="00FF3C68" w:rsidRDefault="00FB35D8">
            <w:pPr>
              <w:pStyle w:val="T4dispositie"/>
            </w:pPr>
            <w:r>
              <w:t>2</w:t>
            </w:r>
          </w:p>
          <w:p w14:paraId="481CE70F" w14:textId="77777777" w:rsidR="00FF3C68" w:rsidRDefault="00FB35D8">
            <w:pPr>
              <w:pStyle w:val="T4dispositie"/>
            </w:pPr>
            <w:r>
              <w:t>1 1/3</w:t>
            </w:r>
          </w:p>
          <w:p w14:paraId="17D90531" w14:textId="77777777" w:rsidR="00FF3C68" w:rsidRDefault="00FB35D8">
            <w:pPr>
              <w:pStyle w:val="T4dispositie"/>
            </w:pPr>
            <w:r>
              <w:t>1</w:t>
            </w:r>
          </w:p>
        </w:tc>
        <w:tc>
          <w:tcPr>
            <w:tcW w:w="900" w:type="dxa"/>
          </w:tcPr>
          <w:p w14:paraId="7BA8DB00" w14:textId="77777777" w:rsidR="00FF3C68" w:rsidRDefault="00FB35D8">
            <w:pPr>
              <w:pStyle w:val="T4dispositie"/>
            </w:pPr>
            <w:r>
              <w:t>c</w:t>
            </w:r>
            <w:r>
              <w:rPr>
                <w:vertAlign w:val="superscript"/>
              </w:rPr>
              <w:t>1</w:t>
            </w:r>
          </w:p>
          <w:p w14:paraId="17E683AB" w14:textId="77777777" w:rsidR="00FF3C68" w:rsidRDefault="00FB35D8">
            <w:pPr>
              <w:pStyle w:val="T4dispositie"/>
            </w:pPr>
            <w:r>
              <w:t>4</w:t>
            </w:r>
          </w:p>
          <w:p w14:paraId="0155E38F" w14:textId="77777777" w:rsidR="00FF3C68" w:rsidRDefault="00FB35D8">
            <w:pPr>
              <w:pStyle w:val="T4dispositie"/>
            </w:pPr>
            <w:r>
              <w:t>2 2/3</w:t>
            </w:r>
          </w:p>
          <w:p w14:paraId="57078D69" w14:textId="77777777" w:rsidR="00FF3C68" w:rsidRDefault="00FB35D8">
            <w:pPr>
              <w:pStyle w:val="T4dispositie"/>
            </w:pPr>
            <w:r>
              <w:t>2</w:t>
            </w:r>
          </w:p>
          <w:p w14:paraId="57C8D248" w14:textId="77777777" w:rsidR="00FF3C68" w:rsidRDefault="00FB35D8">
            <w:pPr>
              <w:pStyle w:val="T4dispositie"/>
            </w:pPr>
            <w:r>
              <w:t>2</w:t>
            </w:r>
          </w:p>
          <w:p w14:paraId="4E37F0FE" w14:textId="77777777" w:rsidR="00FF3C68" w:rsidRDefault="00FB35D8">
            <w:pPr>
              <w:pStyle w:val="T4dispositie"/>
            </w:pPr>
            <w:r>
              <w:t>1 1/3</w:t>
            </w:r>
          </w:p>
        </w:tc>
        <w:tc>
          <w:tcPr>
            <w:tcW w:w="900" w:type="dxa"/>
          </w:tcPr>
          <w:p w14:paraId="53251C22" w14:textId="77777777" w:rsidR="00FF3C68" w:rsidRDefault="00FB35D8">
            <w:pPr>
              <w:pStyle w:val="T4dispositie"/>
            </w:pPr>
            <w:r>
              <w:t>C</w:t>
            </w:r>
            <w:r>
              <w:rPr>
                <w:vertAlign w:val="superscript"/>
              </w:rPr>
              <w:t>2</w:t>
            </w:r>
          </w:p>
          <w:p w14:paraId="51B538B7" w14:textId="77777777" w:rsidR="00FF3C68" w:rsidRDefault="00FB35D8">
            <w:pPr>
              <w:pStyle w:val="T4dispositie"/>
            </w:pPr>
            <w:r>
              <w:t>5 1/3</w:t>
            </w:r>
          </w:p>
          <w:p w14:paraId="304DA1B1" w14:textId="77777777" w:rsidR="00FF3C68" w:rsidRDefault="00FB35D8">
            <w:pPr>
              <w:pStyle w:val="T4dispositie"/>
            </w:pPr>
            <w:r>
              <w:t>4</w:t>
            </w:r>
          </w:p>
          <w:p w14:paraId="2D40DBA5" w14:textId="77777777" w:rsidR="00FF3C68" w:rsidRDefault="00FB35D8">
            <w:pPr>
              <w:pStyle w:val="T4dispositie"/>
            </w:pPr>
            <w:r>
              <w:t>4</w:t>
            </w:r>
          </w:p>
          <w:p w14:paraId="2C370257" w14:textId="77777777" w:rsidR="00FF3C68" w:rsidRDefault="00FB35D8">
            <w:pPr>
              <w:pStyle w:val="T4dispositie"/>
            </w:pPr>
            <w:r>
              <w:t>2 2/3</w:t>
            </w:r>
          </w:p>
          <w:p w14:paraId="55617C53" w14:textId="77777777" w:rsidR="00FF3C68" w:rsidRDefault="00FB35D8">
            <w:pPr>
              <w:pStyle w:val="T4dispositie"/>
            </w:pPr>
            <w:r>
              <w:t>2 2/3</w:t>
            </w:r>
          </w:p>
          <w:p w14:paraId="17EB6940" w14:textId="77777777" w:rsidR="00FF3C68" w:rsidRDefault="00FB35D8">
            <w:pPr>
              <w:pStyle w:val="T4dispositie"/>
            </w:pPr>
            <w:r>
              <w:t>2</w:t>
            </w:r>
          </w:p>
        </w:tc>
      </w:tr>
    </w:tbl>
    <w:p w14:paraId="2F49E535" w14:textId="77777777" w:rsidR="00FF3C68" w:rsidRDefault="00FF3C68">
      <w:pPr>
        <w:pStyle w:val="T1"/>
      </w:pPr>
    </w:p>
    <w:p w14:paraId="40EADDAC" w14:textId="77777777" w:rsidR="00FF3C68" w:rsidRDefault="00FB35D8">
      <w:pPr>
        <w:pStyle w:val="T1"/>
      </w:pPr>
      <w:r>
        <w:t xml:space="preserve">Cornet    </w:t>
      </w:r>
      <w:r>
        <w:rPr>
          <w:sz w:val="20"/>
        </w:rPr>
        <w:t>c</w:t>
      </w:r>
      <w:r>
        <w:rPr>
          <w:sz w:val="20"/>
          <w:vertAlign w:val="superscript"/>
        </w:rPr>
        <w:t>1</w:t>
      </w:r>
      <w:r>
        <w:rPr>
          <w:sz w:val="20"/>
        </w:rPr>
        <w:t xml:space="preserve">   4 - 2 2/3 - 2</w:t>
      </w:r>
    </w:p>
    <w:p w14:paraId="0D46EAE6" w14:textId="77777777" w:rsidR="00FF3C68" w:rsidRDefault="00FF3C68">
      <w:pPr>
        <w:pStyle w:val="T1"/>
      </w:pPr>
    </w:p>
    <w:p w14:paraId="74AE441B" w14:textId="77777777" w:rsidR="00FF3C68" w:rsidRDefault="00FB35D8">
      <w:pPr>
        <w:pStyle w:val="T1"/>
      </w:pPr>
      <w:proofErr w:type="spellStart"/>
      <w:r>
        <w:t>Toonhoogte</w:t>
      </w:r>
      <w:proofErr w:type="spellEnd"/>
    </w:p>
    <w:p w14:paraId="5C77B5BF" w14:textId="77777777" w:rsidR="00FF3C68" w:rsidRDefault="00FB35D8">
      <w:pPr>
        <w:pStyle w:val="T1"/>
      </w:pPr>
      <w:r>
        <w:t>a</w:t>
      </w:r>
      <w:r>
        <w:rPr>
          <w:vertAlign w:val="superscript"/>
        </w:rPr>
        <w:t>1</w:t>
      </w:r>
      <w:r>
        <w:t xml:space="preserve"> </w:t>
      </w:r>
      <w:proofErr w:type="gramStart"/>
      <w:r>
        <w:t>=  439</w:t>
      </w:r>
      <w:proofErr w:type="gramEnd"/>
      <w:r>
        <w:t xml:space="preserve"> Hz</w:t>
      </w:r>
    </w:p>
    <w:p w14:paraId="778436A0" w14:textId="77777777" w:rsidR="00FF3C68" w:rsidRDefault="00FB35D8">
      <w:pPr>
        <w:pStyle w:val="T1"/>
      </w:pPr>
      <w:proofErr w:type="spellStart"/>
      <w:r>
        <w:t>Temperatuur</w:t>
      </w:r>
      <w:proofErr w:type="spellEnd"/>
    </w:p>
    <w:p w14:paraId="26309AF4" w14:textId="77777777" w:rsidR="00FF3C68" w:rsidRDefault="00FB35D8">
      <w:pPr>
        <w:pStyle w:val="T1"/>
      </w:pPr>
      <w:proofErr w:type="spellStart"/>
      <w:r>
        <w:t>evenredig</w:t>
      </w:r>
      <w:proofErr w:type="spellEnd"/>
      <w:r>
        <w:t xml:space="preserve"> </w:t>
      </w:r>
      <w:proofErr w:type="spellStart"/>
      <w:r>
        <w:t>zwevend</w:t>
      </w:r>
      <w:proofErr w:type="spellEnd"/>
    </w:p>
    <w:p w14:paraId="31B53BD0" w14:textId="77777777" w:rsidR="00FF3C68" w:rsidRDefault="00FF3C68">
      <w:pPr>
        <w:pStyle w:val="T1"/>
      </w:pPr>
    </w:p>
    <w:p w14:paraId="10C464BF" w14:textId="77777777" w:rsidR="00FF3C68" w:rsidRDefault="00FB35D8">
      <w:pPr>
        <w:pStyle w:val="T1"/>
      </w:pPr>
      <w:proofErr w:type="spellStart"/>
      <w:r>
        <w:t>Manuaalomvang</w:t>
      </w:r>
      <w:proofErr w:type="spellEnd"/>
    </w:p>
    <w:p w14:paraId="5959A01E" w14:textId="77777777" w:rsidR="00FF3C68" w:rsidRDefault="00FB35D8">
      <w:pPr>
        <w:pStyle w:val="T1"/>
      </w:pPr>
      <w:r>
        <w:lastRenderedPageBreak/>
        <w:t>C-f</w:t>
      </w:r>
      <w:r>
        <w:rPr>
          <w:vertAlign w:val="superscript"/>
        </w:rPr>
        <w:t>3</w:t>
      </w:r>
    </w:p>
    <w:p w14:paraId="5E608998" w14:textId="77777777" w:rsidR="00FF3C68" w:rsidRDefault="00FB35D8">
      <w:pPr>
        <w:pStyle w:val="T1"/>
      </w:pPr>
      <w:proofErr w:type="spellStart"/>
      <w:r>
        <w:t>Pedaalomvang</w:t>
      </w:r>
      <w:proofErr w:type="spellEnd"/>
    </w:p>
    <w:p w14:paraId="388B7F3C" w14:textId="77777777" w:rsidR="00FF3C68" w:rsidRDefault="00FB35D8">
      <w:pPr>
        <w:pStyle w:val="T1"/>
      </w:pPr>
      <w:r>
        <w:t>C-c</w:t>
      </w:r>
      <w:r>
        <w:rPr>
          <w:vertAlign w:val="superscript"/>
        </w:rPr>
        <w:t>1</w:t>
      </w:r>
    </w:p>
    <w:p w14:paraId="5A9CF3AB" w14:textId="77777777" w:rsidR="00FF3C68" w:rsidRDefault="00FF3C68">
      <w:pPr>
        <w:pStyle w:val="T1"/>
      </w:pPr>
    </w:p>
    <w:p w14:paraId="523CBCEA" w14:textId="77777777" w:rsidR="00FF3C68" w:rsidRDefault="00FB35D8">
      <w:pPr>
        <w:pStyle w:val="T1"/>
      </w:pPr>
      <w:proofErr w:type="spellStart"/>
      <w:r>
        <w:t>Windvoorziening</w:t>
      </w:r>
      <w:proofErr w:type="spellEnd"/>
    </w:p>
    <w:p w14:paraId="7F283605" w14:textId="77777777" w:rsidR="00FF3C68" w:rsidRDefault="00FB35D8">
      <w:pPr>
        <w:pStyle w:val="T1"/>
      </w:pPr>
      <w:proofErr w:type="spellStart"/>
      <w:r>
        <w:t>drie</w:t>
      </w:r>
      <w:proofErr w:type="spellEnd"/>
      <w:r>
        <w:t xml:space="preserve"> </w:t>
      </w:r>
      <w:proofErr w:type="spellStart"/>
      <w:r>
        <w:t>spaanbalgen</w:t>
      </w:r>
      <w:proofErr w:type="spellEnd"/>
      <w:r>
        <w:t xml:space="preserve"> (1843)</w:t>
      </w:r>
    </w:p>
    <w:p w14:paraId="44AD55ED" w14:textId="77777777" w:rsidR="00FF3C68" w:rsidRDefault="00FB35D8">
      <w:pPr>
        <w:pStyle w:val="T1"/>
      </w:pPr>
      <w:proofErr w:type="spellStart"/>
      <w:r>
        <w:t>Winddruk</w:t>
      </w:r>
      <w:proofErr w:type="spellEnd"/>
    </w:p>
    <w:p w14:paraId="48C64588" w14:textId="77777777" w:rsidR="00FF3C68" w:rsidRDefault="00FB35D8">
      <w:pPr>
        <w:pStyle w:val="T1"/>
      </w:pPr>
      <w:r>
        <w:t>66 mm</w:t>
      </w:r>
    </w:p>
    <w:p w14:paraId="7966437A" w14:textId="77777777" w:rsidR="00FF3C68" w:rsidRDefault="00FF3C68">
      <w:pPr>
        <w:pStyle w:val="T1"/>
      </w:pPr>
    </w:p>
    <w:p w14:paraId="63378DB0" w14:textId="77777777" w:rsidR="00FF3C68" w:rsidRDefault="00FB35D8">
      <w:pPr>
        <w:pStyle w:val="T1"/>
      </w:pPr>
      <w:proofErr w:type="spellStart"/>
      <w:r>
        <w:t>Plaats</w:t>
      </w:r>
      <w:proofErr w:type="spellEnd"/>
      <w:r>
        <w:t xml:space="preserve"> </w:t>
      </w:r>
      <w:proofErr w:type="spellStart"/>
      <w:r>
        <w:t>klaviatuur</w:t>
      </w:r>
      <w:proofErr w:type="spellEnd"/>
    </w:p>
    <w:p w14:paraId="65438834" w14:textId="77777777" w:rsidR="00FF3C68" w:rsidRDefault="00FB35D8">
      <w:pPr>
        <w:pStyle w:val="T1"/>
      </w:pPr>
      <w:proofErr w:type="spellStart"/>
      <w:r>
        <w:t>rechterzijde</w:t>
      </w:r>
      <w:proofErr w:type="spellEnd"/>
    </w:p>
    <w:p w14:paraId="6ACD28FA" w14:textId="77777777" w:rsidR="00FF3C68" w:rsidRDefault="00FF3C68">
      <w:pPr>
        <w:pStyle w:val="T1"/>
      </w:pPr>
    </w:p>
    <w:p w14:paraId="5BA9E2D9" w14:textId="77777777" w:rsidR="00FF3C68" w:rsidRDefault="00FB35D8">
      <w:pPr>
        <w:pStyle w:val="Heading2"/>
        <w:rPr>
          <w:i w:val="0"/>
          <w:iCs/>
        </w:rPr>
      </w:pPr>
      <w:r>
        <w:rPr>
          <w:i w:val="0"/>
          <w:iCs/>
        </w:rPr>
        <w:t>Bijzonderheden</w:t>
      </w:r>
    </w:p>
    <w:p w14:paraId="1F708B8E" w14:textId="77777777" w:rsidR="00FF3C68" w:rsidRDefault="00FF3C68">
      <w:pPr>
        <w:pStyle w:val="T1"/>
      </w:pPr>
    </w:p>
    <w:p w14:paraId="3BA68F91" w14:textId="77777777" w:rsidR="00FF3C68" w:rsidRDefault="00FB35D8">
      <w:pPr>
        <w:pStyle w:val="T1"/>
        <w:jc w:val="left"/>
        <w:rPr>
          <w:lang w:val="nl-NL"/>
        </w:rPr>
      </w:pPr>
      <w:r>
        <w:rPr>
          <w:lang w:val="nl-NL"/>
        </w:rPr>
        <w:t>Deling B/D tussen h en c</w:t>
      </w:r>
      <w:r>
        <w:rPr>
          <w:vertAlign w:val="superscript"/>
          <w:lang w:val="nl-NL"/>
        </w:rPr>
        <w:t>1</w:t>
      </w:r>
      <w:r>
        <w:rPr>
          <w:lang w:val="nl-NL"/>
        </w:rPr>
        <w:t>.</w:t>
      </w:r>
    </w:p>
    <w:p w14:paraId="7FDE845D" w14:textId="77777777" w:rsidR="00FB35D8" w:rsidRDefault="00FB35D8">
      <w:pPr>
        <w:pStyle w:val="T1"/>
        <w:jc w:val="left"/>
      </w:pPr>
      <w:r>
        <w:rPr>
          <w:lang w:val="nl-NL"/>
        </w:rPr>
        <w:t xml:space="preserve">De indeling van de uit twee delen bestaande lade is overeenkomstig het front. De Nachthoorn 4’ en Ged. </w:t>
      </w:r>
      <w:r w:rsidRPr="00425692">
        <w:rPr>
          <w:lang w:val="nl-NL"/>
        </w:rPr>
        <w:t xml:space="preserve">Fluit 4’ zijn beide geheel zelfstandig; het hoogste octaaf van dit laatstgenoemde register is open, conisch. </w:t>
      </w:r>
      <w:r w:rsidRPr="00425692">
        <w:rPr>
          <w:lang w:val="sv-SE"/>
        </w:rPr>
        <w:t xml:space="preserve">De bas van de Bourdon 16’ en het groot octaaf van de Holpijp 8’ zijn van hout. </w:t>
      </w:r>
      <w:r>
        <w:rPr>
          <w:lang w:val="nl-NL"/>
        </w:rPr>
        <w:t xml:space="preserve">De Trompet 8’ bezit nog zijn originele eiken stevels en koppen. </w:t>
      </w:r>
      <w:r>
        <w:t xml:space="preserve">In de </w:t>
      </w:r>
      <w:proofErr w:type="spellStart"/>
      <w:r>
        <w:t>meeste</w:t>
      </w:r>
      <w:proofErr w:type="spellEnd"/>
      <w:r>
        <w:t xml:space="preserve"> </w:t>
      </w:r>
      <w:proofErr w:type="spellStart"/>
      <w:r>
        <w:t>bekers</w:t>
      </w:r>
      <w:proofErr w:type="spellEnd"/>
      <w:r>
        <w:t xml:space="preserve"> is </w:t>
      </w:r>
      <w:proofErr w:type="spellStart"/>
      <w:r>
        <w:t>een</w:t>
      </w:r>
      <w:proofErr w:type="spellEnd"/>
      <w:r>
        <w:t xml:space="preserve"> opening </w:t>
      </w:r>
      <w:proofErr w:type="spellStart"/>
      <w:r>
        <w:t>geboord</w:t>
      </w:r>
      <w:proofErr w:type="spellEnd"/>
      <w:r>
        <w:t>.</w:t>
      </w:r>
    </w:p>
    <w:sectPr w:rsidR="00FB35D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E0"/>
    <w:rsid w:val="00425692"/>
    <w:rsid w:val="007A6DE0"/>
    <w:rsid w:val="00FB35D8"/>
    <w:rsid w:val="00FF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ABD8AA"/>
  <w15:chartTrackingRefBased/>
  <w15:docId w15:val="{B4815FBF-8612-1F42-8AD9-86FE0A76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Voorst/1843</vt:lpstr>
    </vt:vector>
  </TitlesOfParts>
  <Company>NIvO</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Voorst/1843</dc:title>
  <dc:subject/>
  <dc:creator>WS1</dc:creator>
  <cp:keywords/>
  <dc:description/>
  <cp:lastModifiedBy>Eline J Duijsens</cp:lastModifiedBy>
  <cp:revision>3</cp:revision>
  <dcterms:created xsi:type="dcterms:W3CDTF">2021-09-20T07:49:00Z</dcterms:created>
  <dcterms:modified xsi:type="dcterms:W3CDTF">2021-09-27T08:12:00Z</dcterms:modified>
</cp:coreProperties>
</file>