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C0A18" w14:textId="77777777" w:rsidR="00E17A2C" w:rsidRDefault="00455D2C">
      <w:pPr>
        <w:pStyle w:val="Heading1"/>
        <w:rPr>
          <w:bCs/>
        </w:rPr>
      </w:pPr>
      <w:r>
        <w:rPr>
          <w:bCs/>
        </w:rPr>
        <w:t>Groningen / ca 1850</w:t>
      </w:r>
    </w:p>
    <w:p w14:paraId="170C0B58" w14:textId="77777777" w:rsidR="00E17A2C" w:rsidRDefault="00455D2C">
      <w:pPr>
        <w:pStyle w:val="Heading2"/>
        <w:rPr>
          <w:i w:val="0"/>
          <w:iCs/>
        </w:rPr>
      </w:pPr>
      <w:r>
        <w:rPr>
          <w:i w:val="0"/>
          <w:iCs/>
        </w:rPr>
        <w:t>Der Aa-kerk</w:t>
      </w:r>
    </w:p>
    <w:p w14:paraId="441BF387" w14:textId="77777777" w:rsidR="00E17A2C" w:rsidRDefault="00455D2C">
      <w:pPr>
        <w:pStyle w:val="T1"/>
        <w:rPr>
          <w:b/>
          <w:bCs/>
          <w:lang w:val="nl-NL"/>
        </w:rPr>
      </w:pPr>
      <w:r>
        <w:rPr>
          <w:b/>
          <w:bCs/>
          <w:lang w:val="nl-NL"/>
        </w:rPr>
        <w:t>tijdelijk hulporgel.</w:t>
      </w:r>
    </w:p>
    <w:p w14:paraId="7F5A6399" w14:textId="77777777" w:rsidR="00E17A2C" w:rsidRDefault="00E17A2C">
      <w:pPr>
        <w:pStyle w:val="T1"/>
        <w:rPr>
          <w:lang w:val="nl-NL"/>
        </w:rPr>
      </w:pPr>
    </w:p>
    <w:p w14:paraId="49ABD174" w14:textId="77777777" w:rsidR="00E17A2C" w:rsidRDefault="00455D2C">
      <w:pPr>
        <w:pStyle w:val="T1"/>
        <w:rPr>
          <w:i/>
          <w:iCs/>
          <w:lang w:val="nl-NL"/>
        </w:rPr>
      </w:pPr>
      <w:r>
        <w:rPr>
          <w:i/>
          <w:iCs/>
          <w:lang w:val="nl-NL"/>
        </w:rPr>
        <w:t xml:space="preserve">Gotische geheel in steen overwelfde kruisbasiliek. Huidige vorm ontstaan na een 15e-eeuwse verbouwing van een romano-gotische kerk. Toren uit 1710-1712 na instorten vorige toren. Gewelfschilderingen uit de 15e eeuw. Meubilair 17e- en vroege 18e eeuw. </w:t>
      </w:r>
    </w:p>
    <w:p w14:paraId="5F8F2621" w14:textId="77777777" w:rsidR="00E17A2C" w:rsidRDefault="00E17A2C">
      <w:pPr>
        <w:pStyle w:val="T1"/>
        <w:rPr>
          <w:lang w:val="nl-NL"/>
        </w:rPr>
      </w:pPr>
    </w:p>
    <w:p w14:paraId="11B6BBC6" w14:textId="77777777" w:rsidR="00E17A2C" w:rsidRDefault="00455D2C">
      <w:pPr>
        <w:pStyle w:val="T1"/>
        <w:rPr>
          <w:lang w:val="nl-NL"/>
        </w:rPr>
      </w:pPr>
      <w:r>
        <w:rPr>
          <w:lang w:val="nl-NL"/>
        </w:rPr>
        <w:t>Kas: ca 1850</w:t>
      </w:r>
    </w:p>
    <w:p w14:paraId="2A4E511B" w14:textId="77777777" w:rsidR="00E17A2C" w:rsidRDefault="00E17A2C">
      <w:pPr>
        <w:pStyle w:val="Heading2"/>
        <w:rPr>
          <w:i w:val="0"/>
          <w:iCs/>
        </w:rPr>
      </w:pPr>
    </w:p>
    <w:p w14:paraId="198A38CD" w14:textId="5BA0C568" w:rsidR="00E17A2C" w:rsidRDefault="00455D2C" w:rsidP="00DD19EF">
      <w:pPr>
        <w:pStyle w:val="Heading2"/>
      </w:pPr>
      <w:r w:rsidRPr="00DD19EF">
        <w:t>Kunsthistorische</w:t>
      </w:r>
      <w:r>
        <w:t xml:space="preserve"> aspecten</w:t>
      </w:r>
    </w:p>
    <w:p w14:paraId="66B1C898" w14:textId="77777777" w:rsidR="00E17A2C" w:rsidRDefault="00E17A2C">
      <w:pPr>
        <w:pStyle w:val="T1"/>
        <w:rPr>
          <w:lang w:val="nl-NL"/>
        </w:rPr>
      </w:pPr>
    </w:p>
    <w:p w14:paraId="4D694AEE" w14:textId="77777777" w:rsidR="00E17A2C" w:rsidRDefault="00455D2C">
      <w:pPr>
        <w:pStyle w:val="T3Lit"/>
        <w:rPr>
          <w:b/>
          <w:bCs/>
          <w:lang w:val="nl-NL"/>
        </w:rPr>
      </w:pPr>
      <w:r>
        <w:rPr>
          <w:b/>
          <w:bCs/>
          <w:lang w:val="nl-NL"/>
        </w:rPr>
        <w:t>Niet gepubliceerde bron</w:t>
      </w:r>
    </w:p>
    <w:p w14:paraId="5B6C72E3" w14:textId="77777777" w:rsidR="00E17A2C" w:rsidRDefault="00455D2C">
      <w:pPr>
        <w:pStyle w:val="T3Lit"/>
        <w:rPr>
          <w:lang w:val="nl-NL"/>
        </w:rPr>
      </w:pPr>
      <w:r>
        <w:rPr>
          <w:lang w:val="nl-NL"/>
        </w:rPr>
        <w:t>Gegevens, afkomstig van Martin Renshaw</w:t>
      </w:r>
    </w:p>
    <w:p w14:paraId="6A8053EA" w14:textId="77777777" w:rsidR="00E17A2C" w:rsidRDefault="00E17A2C">
      <w:pPr>
        <w:pStyle w:val="T1"/>
        <w:rPr>
          <w:lang w:val="nl-NL"/>
        </w:rPr>
      </w:pPr>
    </w:p>
    <w:p w14:paraId="582035F6" w14:textId="77777777" w:rsidR="00E17A2C" w:rsidRDefault="00455D2C">
      <w:pPr>
        <w:pStyle w:val="Heading2"/>
        <w:rPr>
          <w:i w:val="0"/>
          <w:iCs/>
        </w:rPr>
      </w:pPr>
      <w:r>
        <w:rPr>
          <w:i w:val="0"/>
          <w:iCs/>
        </w:rPr>
        <w:t>Historis</w:t>
      </w:r>
      <w:bookmarkStart w:id="0" w:name="_GoBack"/>
      <w:bookmarkEnd w:id="0"/>
      <w:r>
        <w:rPr>
          <w:i w:val="0"/>
          <w:iCs/>
        </w:rPr>
        <w:t>che gegevens</w:t>
      </w:r>
    </w:p>
    <w:p w14:paraId="66C3052B" w14:textId="77777777" w:rsidR="00E17A2C" w:rsidRDefault="00E17A2C">
      <w:pPr>
        <w:pStyle w:val="T1"/>
        <w:rPr>
          <w:lang w:val="nl-NL"/>
        </w:rPr>
      </w:pPr>
    </w:p>
    <w:p w14:paraId="62AA248D" w14:textId="77777777" w:rsidR="00E17A2C" w:rsidRDefault="00455D2C">
      <w:pPr>
        <w:pStyle w:val="T1"/>
        <w:rPr>
          <w:lang w:val="nl-NL"/>
        </w:rPr>
      </w:pPr>
      <w:r>
        <w:rPr>
          <w:lang w:val="nl-NL"/>
        </w:rPr>
        <w:t>Bouwers</w:t>
      </w:r>
    </w:p>
    <w:p w14:paraId="34491E93" w14:textId="77777777" w:rsidR="00E17A2C" w:rsidRDefault="00455D2C">
      <w:pPr>
        <w:pStyle w:val="T1"/>
        <w:rPr>
          <w:lang w:val="nl-NL"/>
        </w:rPr>
      </w:pPr>
      <w:r>
        <w:rPr>
          <w:lang w:val="nl-NL"/>
        </w:rPr>
        <w:t>1. onbekend</w:t>
      </w:r>
    </w:p>
    <w:p w14:paraId="7426AFB6" w14:textId="77777777" w:rsidR="00E17A2C" w:rsidRDefault="00455D2C">
      <w:pPr>
        <w:pStyle w:val="T1"/>
        <w:rPr>
          <w:lang w:val="nl-NL"/>
        </w:rPr>
      </w:pPr>
      <w:r>
        <w:rPr>
          <w:lang w:val="nl-NL"/>
        </w:rPr>
        <w:t>2. onbekend</w:t>
      </w:r>
    </w:p>
    <w:p w14:paraId="0B2FCFCF" w14:textId="77777777" w:rsidR="00E17A2C" w:rsidRDefault="00E17A2C">
      <w:pPr>
        <w:pStyle w:val="T1"/>
        <w:rPr>
          <w:lang w:val="nl-NL"/>
        </w:rPr>
      </w:pPr>
    </w:p>
    <w:p w14:paraId="4443E0E3" w14:textId="77777777" w:rsidR="00E17A2C" w:rsidRDefault="00455D2C">
      <w:pPr>
        <w:pStyle w:val="T1"/>
        <w:rPr>
          <w:lang w:val="nl-NL"/>
        </w:rPr>
      </w:pPr>
      <w:r>
        <w:rPr>
          <w:lang w:val="nl-NL"/>
        </w:rPr>
        <w:t>Jaren van oplevering</w:t>
      </w:r>
    </w:p>
    <w:p w14:paraId="7B173024" w14:textId="77777777" w:rsidR="00E17A2C" w:rsidRDefault="00455D2C">
      <w:pPr>
        <w:pStyle w:val="T1"/>
        <w:rPr>
          <w:lang w:val="nl-NL"/>
        </w:rPr>
      </w:pPr>
      <w:r>
        <w:rPr>
          <w:lang w:val="nl-NL"/>
        </w:rPr>
        <w:t>1. ca 1850</w:t>
      </w:r>
    </w:p>
    <w:p w14:paraId="439EC073" w14:textId="77777777" w:rsidR="00E17A2C" w:rsidRDefault="00455D2C">
      <w:pPr>
        <w:pStyle w:val="T1"/>
        <w:rPr>
          <w:lang w:val="nl-NL"/>
        </w:rPr>
      </w:pPr>
      <w:r>
        <w:rPr>
          <w:lang w:val="nl-NL"/>
        </w:rPr>
        <w:t>2. ca 1912</w:t>
      </w:r>
    </w:p>
    <w:p w14:paraId="3C49E0DB" w14:textId="77777777" w:rsidR="00E17A2C" w:rsidRDefault="00E17A2C">
      <w:pPr>
        <w:pStyle w:val="T1"/>
        <w:rPr>
          <w:lang w:val="nl-NL"/>
        </w:rPr>
      </w:pPr>
    </w:p>
    <w:p w14:paraId="79440CAB" w14:textId="77777777" w:rsidR="00E17A2C" w:rsidRDefault="00455D2C">
      <w:pPr>
        <w:pStyle w:val="T1"/>
        <w:rPr>
          <w:lang w:val="nl-NL"/>
        </w:rPr>
      </w:pPr>
      <w:r>
        <w:rPr>
          <w:lang w:val="nl-NL"/>
        </w:rPr>
        <w:t>Oorspronkelijke locatie</w:t>
      </w:r>
    </w:p>
    <w:p w14:paraId="42A6F787" w14:textId="77777777" w:rsidR="00E17A2C" w:rsidRDefault="00455D2C">
      <w:pPr>
        <w:pStyle w:val="T1"/>
        <w:rPr>
          <w:lang w:val="nl-NL"/>
        </w:rPr>
      </w:pPr>
      <w:r>
        <w:rPr>
          <w:lang w:val="nl-NL"/>
        </w:rPr>
        <w:t>Daventry (particulier bezit)</w:t>
      </w:r>
    </w:p>
    <w:p w14:paraId="1A72D62E" w14:textId="77777777" w:rsidR="00E17A2C" w:rsidRDefault="00E17A2C">
      <w:pPr>
        <w:pStyle w:val="T1"/>
        <w:rPr>
          <w:lang w:val="nl-NL"/>
        </w:rPr>
      </w:pPr>
    </w:p>
    <w:p w14:paraId="428F57E9" w14:textId="77777777" w:rsidR="00E17A2C" w:rsidRDefault="00455D2C">
      <w:pPr>
        <w:pStyle w:val="T1"/>
        <w:rPr>
          <w:lang w:val="nl-NL"/>
        </w:rPr>
      </w:pPr>
      <w:r>
        <w:rPr>
          <w:lang w:val="nl-NL"/>
        </w:rPr>
        <w:t>ca 1912</w:t>
      </w:r>
    </w:p>
    <w:p w14:paraId="102C5E23" w14:textId="77777777" w:rsidR="00E17A2C" w:rsidRDefault="00455D2C">
      <w:pPr>
        <w:pStyle w:val="T1"/>
        <w:rPr>
          <w:lang w:val="nl-NL"/>
        </w:rPr>
      </w:pPr>
      <w:r>
        <w:rPr>
          <w:lang w:val="nl-NL"/>
        </w:rPr>
        <w:t>.</w:t>
      </w:r>
      <w:r>
        <w:rPr>
          <w:lang w:val="nl-NL"/>
        </w:rPr>
        <w:tab/>
        <w:t>orgel geplaatst in de kerk te Bucknell</w:t>
      </w:r>
    </w:p>
    <w:p w14:paraId="11242C0D" w14:textId="77777777" w:rsidR="00E17A2C" w:rsidRDefault="00455D2C">
      <w:pPr>
        <w:pStyle w:val="T1"/>
        <w:numPr>
          <w:ilvl w:val="0"/>
          <w:numId w:val="1"/>
        </w:numPr>
        <w:rPr>
          <w:lang w:val="nl-NL"/>
        </w:rPr>
      </w:pPr>
      <w:r>
        <w:rPr>
          <w:lang w:val="nl-NL"/>
        </w:rPr>
        <w:t>vrij pedaal toegevoegd met gebruikmaking van vermaakte pijpen van de bas van de Open Diapason</w:t>
      </w:r>
    </w:p>
    <w:p w14:paraId="33BA9F34" w14:textId="77777777" w:rsidR="00E17A2C" w:rsidRDefault="00455D2C">
      <w:pPr>
        <w:pStyle w:val="T1"/>
        <w:rPr>
          <w:lang w:val="nl-NL"/>
        </w:rPr>
      </w:pPr>
      <w:r>
        <w:rPr>
          <w:lang w:val="nl-NL"/>
        </w:rPr>
        <w:t>.</w:t>
      </w:r>
      <w:r>
        <w:rPr>
          <w:lang w:val="nl-NL"/>
        </w:rPr>
        <w:tab/>
        <w:t>pedaalkoppel aangebracht</w:t>
      </w:r>
    </w:p>
    <w:p w14:paraId="197A5560" w14:textId="77777777" w:rsidR="00E17A2C" w:rsidRDefault="00455D2C">
      <w:pPr>
        <w:pStyle w:val="T1"/>
        <w:rPr>
          <w:lang w:val="nl-NL"/>
        </w:rPr>
      </w:pPr>
      <w:r>
        <w:rPr>
          <w:lang w:val="nl-NL"/>
        </w:rPr>
        <w:t>.</w:t>
      </w:r>
      <w:r>
        <w:rPr>
          <w:lang w:val="nl-NL"/>
        </w:rPr>
        <w:tab/>
        <w:t>voeten van de houten gedekte pijpen vervangen door nieuwe van mahonie</w:t>
      </w:r>
    </w:p>
    <w:p w14:paraId="052A024B" w14:textId="77777777" w:rsidR="00E17A2C" w:rsidRDefault="00455D2C">
      <w:pPr>
        <w:pStyle w:val="T1"/>
        <w:rPr>
          <w:lang w:val="nl-NL"/>
        </w:rPr>
      </w:pPr>
      <w:r>
        <w:rPr>
          <w:lang w:val="nl-NL"/>
        </w:rPr>
        <w:t>.</w:t>
      </w:r>
      <w:r>
        <w:rPr>
          <w:lang w:val="nl-NL"/>
        </w:rPr>
        <w:tab/>
        <w:t>vulstem verwijderd, Flute 4' geplaatst</w:t>
      </w:r>
    </w:p>
    <w:p w14:paraId="37A6B67D" w14:textId="77777777" w:rsidR="00E17A2C" w:rsidRDefault="00E17A2C">
      <w:pPr>
        <w:pStyle w:val="T1"/>
        <w:rPr>
          <w:lang w:val="nl-NL"/>
        </w:rPr>
      </w:pPr>
    </w:p>
    <w:p w14:paraId="11B39894" w14:textId="77777777" w:rsidR="00E17A2C" w:rsidRDefault="00455D2C">
      <w:pPr>
        <w:pStyle w:val="T1"/>
        <w:rPr>
          <w:lang w:val="nl-NL"/>
        </w:rPr>
      </w:pPr>
      <w:r>
        <w:rPr>
          <w:lang w:val="nl-NL"/>
        </w:rPr>
        <w:t>Bob Hower ca 1960</w:t>
      </w:r>
    </w:p>
    <w:p w14:paraId="31F11DF7" w14:textId="77777777" w:rsidR="00E17A2C" w:rsidRDefault="00455D2C">
      <w:pPr>
        <w:pStyle w:val="T1"/>
        <w:rPr>
          <w:lang w:val="nl-NL"/>
        </w:rPr>
      </w:pPr>
      <w:r>
        <w:rPr>
          <w:lang w:val="nl-NL"/>
        </w:rPr>
        <w:t>.</w:t>
      </w:r>
      <w:r>
        <w:rPr>
          <w:lang w:val="nl-NL"/>
        </w:rPr>
        <w:tab/>
        <w:t>Hautboy vervangen door een modern exemplaar</w:t>
      </w:r>
    </w:p>
    <w:p w14:paraId="0A17490D" w14:textId="77777777" w:rsidR="00E17A2C" w:rsidRDefault="00E17A2C">
      <w:pPr>
        <w:pStyle w:val="T1"/>
        <w:rPr>
          <w:lang w:val="nl-NL"/>
        </w:rPr>
      </w:pPr>
    </w:p>
    <w:p w14:paraId="3A5A33AA" w14:textId="77777777" w:rsidR="00E17A2C" w:rsidRDefault="00455D2C">
      <w:pPr>
        <w:pStyle w:val="T1"/>
        <w:rPr>
          <w:lang w:val="nl-NL"/>
        </w:rPr>
      </w:pPr>
      <w:r>
        <w:rPr>
          <w:lang w:val="nl-NL"/>
        </w:rPr>
        <w:t>1979</w:t>
      </w:r>
    </w:p>
    <w:p w14:paraId="317CE696" w14:textId="77777777" w:rsidR="00E17A2C" w:rsidRDefault="00455D2C">
      <w:pPr>
        <w:pStyle w:val="T1"/>
        <w:rPr>
          <w:lang w:val="nl-NL"/>
        </w:rPr>
      </w:pPr>
      <w:r>
        <w:rPr>
          <w:lang w:val="nl-NL"/>
        </w:rPr>
        <w:t>.</w:t>
      </w:r>
      <w:r>
        <w:rPr>
          <w:lang w:val="nl-NL"/>
        </w:rPr>
        <w:tab/>
        <w:t>orgel uit kerkgebouw verwijderd</w:t>
      </w:r>
    </w:p>
    <w:p w14:paraId="1FA6DC90" w14:textId="77777777" w:rsidR="00E17A2C" w:rsidRDefault="00E17A2C">
      <w:pPr>
        <w:pStyle w:val="T1"/>
        <w:rPr>
          <w:lang w:val="nl-NL"/>
        </w:rPr>
      </w:pPr>
    </w:p>
    <w:p w14:paraId="5F685282" w14:textId="77777777" w:rsidR="00E17A2C" w:rsidRDefault="00455D2C">
      <w:pPr>
        <w:pStyle w:val="T1"/>
        <w:rPr>
          <w:lang w:val="nl-NL"/>
        </w:rPr>
      </w:pPr>
      <w:r>
        <w:rPr>
          <w:lang w:val="nl-NL"/>
        </w:rPr>
        <w:t>Martin Renshaw 1981</w:t>
      </w:r>
    </w:p>
    <w:p w14:paraId="40322908" w14:textId="77777777" w:rsidR="00E17A2C" w:rsidRDefault="00455D2C">
      <w:pPr>
        <w:pStyle w:val="T1"/>
        <w:rPr>
          <w:lang w:val="nl-NL"/>
        </w:rPr>
      </w:pPr>
      <w:r>
        <w:rPr>
          <w:lang w:val="nl-NL"/>
        </w:rPr>
        <w:t>.</w:t>
      </w:r>
      <w:r>
        <w:rPr>
          <w:lang w:val="nl-NL"/>
        </w:rPr>
        <w:tab/>
        <w:t>orgel deels gerestaureerd en later geplaatst te Lichtenvoorde, R.K. Sint-Ludgeruskerk</w:t>
      </w:r>
    </w:p>
    <w:p w14:paraId="5F5CEFA5" w14:textId="77777777" w:rsidR="00E17A2C" w:rsidRDefault="00455D2C">
      <w:pPr>
        <w:pStyle w:val="T1"/>
        <w:rPr>
          <w:lang w:val="nl-NL"/>
        </w:rPr>
      </w:pPr>
      <w:r>
        <w:rPr>
          <w:lang w:val="nl-NL"/>
        </w:rPr>
        <w:t>.</w:t>
      </w:r>
      <w:r>
        <w:rPr>
          <w:lang w:val="nl-NL"/>
        </w:rPr>
        <w:tab/>
        <w:t>Sesqualtera &amp; Cornet gereconstrueerd</w:t>
      </w:r>
    </w:p>
    <w:p w14:paraId="0B6281AF" w14:textId="77777777" w:rsidR="00E17A2C" w:rsidRDefault="00455D2C">
      <w:pPr>
        <w:pStyle w:val="T1"/>
        <w:rPr>
          <w:lang w:val="nl-NL"/>
        </w:rPr>
      </w:pPr>
      <w:r>
        <w:rPr>
          <w:lang w:val="nl-NL"/>
        </w:rPr>
        <w:lastRenderedPageBreak/>
        <w:t>.</w:t>
      </w:r>
      <w:r>
        <w:rPr>
          <w:lang w:val="nl-NL"/>
        </w:rPr>
        <w:tab/>
        <w:t>Twelfth geplaatst op daartoe in ca 1850 voorbereide plaats</w:t>
      </w:r>
    </w:p>
    <w:p w14:paraId="5D15C9E6" w14:textId="77777777" w:rsidR="00E17A2C" w:rsidRDefault="00E17A2C">
      <w:pPr>
        <w:pStyle w:val="T1"/>
        <w:rPr>
          <w:lang w:val="nl-NL"/>
        </w:rPr>
      </w:pPr>
    </w:p>
    <w:p w14:paraId="27EF66A8" w14:textId="77777777" w:rsidR="00E17A2C" w:rsidRDefault="00455D2C">
      <w:pPr>
        <w:pStyle w:val="T1"/>
        <w:rPr>
          <w:lang w:val="nl-NL"/>
        </w:rPr>
      </w:pPr>
      <w:r>
        <w:rPr>
          <w:lang w:val="nl-NL"/>
        </w:rPr>
        <w:t>F.R.Feenstra ca 1994</w:t>
      </w:r>
    </w:p>
    <w:p w14:paraId="2641F64D" w14:textId="77777777" w:rsidR="00E17A2C" w:rsidRDefault="00455D2C">
      <w:pPr>
        <w:pStyle w:val="T1"/>
        <w:rPr>
          <w:lang w:val="nl-NL"/>
        </w:rPr>
      </w:pPr>
      <w:r>
        <w:rPr>
          <w:lang w:val="nl-NL"/>
        </w:rPr>
        <w:t>.</w:t>
      </w:r>
      <w:r>
        <w:rPr>
          <w:lang w:val="nl-NL"/>
        </w:rPr>
        <w:tab/>
        <w:t>ander 19e-eeuws Engels orgel te Lichtenvoorde geplaatst</w:t>
      </w:r>
    </w:p>
    <w:p w14:paraId="4B92B573" w14:textId="77777777" w:rsidR="00E17A2C" w:rsidRDefault="00455D2C">
      <w:pPr>
        <w:pStyle w:val="T1"/>
        <w:rPr>
          <w:lang w:val="nl-NL"/>
        </w:rPr>
      </w:pPr>
      <w:r>
        <w:rPr>
          <w:lang w:val="nl-NL"/>
        </w:rPr>
        <w:t>.</w:t>
      </w:r>
      <w:r>
        <w:rPr>
          <w:lang w:val="nl-NL"/>
        </w:rPr>
        <w:tab/>
        <w:t>bestaande orgel ingenomen</w:t>
      </w:r>
    </w:p>
    <w:p w14:paraId="5647CF92" w14:textId="77777777" w:rsidR="00E17A2C" w:rsidRDefault="00E17A2C">
      <w:pPr>
        <w:pStyle w:val="T1"/>
        <w:rPr>
          <w:lang w:val="nl-NL"/>
        </w:rPr>
      </w:pPr>
    </w:p>
    <w:p w14:paraId="1BF3093B" w14:textId="77777777" w:rsidR="00E17A2C" w:rsidRDefault="00455D2C">
      <w:pPr>
        <w:pStyle w:val="T1"/>
        <w:rPr>
          <w:lang w:val="nl-NL"/>
        </w:rPr>
      </w:pPr>
      <w:r>
        <w:rPr>
          <w:lang w:val="nl-NL"/>
        </w:rPr>
        <w:t>F.R. Feenstra 1999</w:t>
      </w:r>
    </w:p>
    <w:p w14:paraId="55B5D335" w14:textId="77777777" w:rsidR="00E17A2C" w:rsidRDefault="00455D2C">
      <w:pPr>
        <w:pStyle w:val="T1"/>
        <w:rPr>
          <w:lang w:val="nl-NL"/>
        </w:rPr>
      </w:pPr>
      <w:r>
        <w:rPr>
          <w:lang w:val="nl-NL"/>
        </w:rPr>
        <w:t>.</w:t>
      </w:r>
      <w:r>
        <w:rPr>
          <w:lang w:val="nl-NL"/>
        </w:rPr>
        <w:tab/>
        <w:t>orgel tijdelijk in de Der Aa-kerk te Groningen geplaatst</w:t>
      </w:r>
    </w:p>
    <w:p w14:paraId="3B7469A0" w14:textId="77777777" w:rsidR="00E17A2C" w:rsidRDefault="00455D2C">
      <w:pPr>
        <w:pStyle w:val="T1"/>
        <w:rPr>
          <w:lang w:val="nl-NL"/>
        </w:rPr>
      </w:pPr>
      <w:r>
        <w:rPr>
          <w:lang w:val="nl-NL"/>
        </w:rPr>
        <w:t>.</w:t>
      </w:r>
      <w:r>
        <w:rPr>
          <w:lang w:val="nl-NL"/>
        </w:rPr>
        <w:tab/>
        <w:t xml:space="preserve">pijpwerk Hautboy vervangen door Trompet 8’ </w:t>
      </w:r>
    </w:p>
    <w:p w14:paraId="7C050300" w14:textId="77777777" w:rsidR="00E17A2C" w:rsidRDefault="00E17A2C">
      <w:pPr>
        <w:pStyle w:val="Heading2"/>
        <w:rPr>
          <w:i w:val="0"/>
          <w:iCs/>
        </w:rPr>
      </w:pPr>
    </w:p>
    <w:p w14:paraId="67511C12" w14:textId="77777777" w:rsidR="00E17A2C" w:rsidRDefault="00455D2C">
      <w:pPr>
        <w:pStyle w:val="Heading2"/>
        <w:rPr>
          <w:i w:val="0"/>
          <w:iCs/>
        </w:rPr>
      </w:pPr>
      <w:r>
        <w:rPr>
          <w:i w:val="0"/>
          <w:iCs/>
        </w:rPr>
        <w:t>Technische gegevens</w:t>
      </w:r>
    </w:p>
    <w:p w14:paraId="2DAECF28" w14:textId="77777777" w:rsidR="00E17A2C" w:rsidRDefault="00E17A2C">
      <w:pPr>
        <w:pStyle w:val="T1"/>
        <w:rPr>
          <w:lang w:val="nl-NL"/>
        </w:rPr>
      </w:pPr>
    </w:p>
    <w:p w14:paraId="264E0B99" w14:textId="77777777" w:rsidR="00E17A2C" w:rsidRDefault="00455D2C">
      <w:pPr>
        <w:pStyle w:val="T1"/>
        <w:rPr>
          <w:lang w:val="nl-NL"/>
        </w:rPr>
      </w:pPr>
      <w:r>
        <w:rPr>
          <w:lang w:val="nl-NL"/>
        </w:rPr>
        <w:t>Werkindeling</w:t>
      </w:r>
    </w:p>
    <w:p w14:paraId="1B1FACCC" w14:textId="77777777" w:rsidR="00E17A2C" w:rsidRDefault="00455D2C">
      <w:pPr>
        <w:pStyle w:val="T1"/>
        <w:rPr>
          <w:lang w:val="nl-NL"/>
        </w:rPr>
      </w:pPr>
      <w:r>
        <w:rPr>
          <w:lang w:val="nl-NL"/>
        </w:rPr>
        <w:t>Great, Swell, Pedal</w:t>
      </w:r>
    </w:p>
    <w:p w14:paraId="2934DB23" w14:textId="77777777" w:rsidR="00E17A2C" w:rsidRDefault="00E17A2C">
      <w:pPr>
        <w:pStyle w:val="T1"/>
        <w:rPr>
          <w:lang w:val="nl-NL"/>
        </w:rPr>
      </w:pPr>
    </w:p>
    <w:p w14:paraId="6BC79D10" w14:textId="77777777" w:rsidR="00E17A2C" w:rsidRDefault="00455D2C">
      <w:pPr>
        <w:pStyle w:val="T1"/>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876"/>
        <w:gridCol w:w="643"/>
        <w:gridCol w:w="1420"/>
        <w:gridCol w:w="451"/>
        <w:gridCol w:w="1077"/>
        <w:gridCol w:w="568"/>
      </w:tblGrid>
      <w:tr w:rsidR="00E17A2C" w14:paraId="1A475ED6" w14:textId="77777777">
        <w:tc>
          <w:tcPr>
            <w:tcW w:w="1876" w:type="dxa"/>
          </w:tcPr>
          <w:p w14:paraId="63E1565D" w14:textId="77777777" w:rsidR="00E17A2C" w:rsidRDefault="00455D2C">
            <w:pPr>
              <w:pStyle w:val="T4dispositie"/>
              <w:rPr>
                <w:i/>
                <w:iCs/>
                <w:lang w:val="nl-NL"/>
              </w:rPr>
            </w:pPr>
            <w:r>
              <w:rPr>
                <w:i/>
                <w:iCs/>
                <w:lang w:val="nl-NL"/>
              </w:rPr>
              <w:t>Great (I)</w:t>
            </w:r>
          </w:p>
          <w:p w14:paraId="56BB08D2" w14:textId="77777777" w:rsidR="00E17A2C" w:rsidRDefault="00455D2C">
            <w:pPr>
              <w:pStyle w:val="T4dispositie"/>
              <w:rPr>
                <w:lang w:val="nl-NL"/>
              </w:rPr>
            </w:pPr>
            <w:r>
              <w:rPr>
                <w:lang w:val="nl-NL"/>
              </w:rPr>
              <w:t>6 stemmen</w:t>
            </w:r>
          </w:p>
          <w:p w14:paraId="604E54BA" w14:textId="77777777" w:rsidR="00E17A2C" w:rsidRDefault="00E17A2C">
            <w:pPr>
              <w:pStyle w:val="T4dispositie"/>
              <w:rPr>
                <w:lang w:val="nl-NL"/>
              </w:rPr>
            </w:pPr>
          </w:p>
          <w:p w14:paraId="381547C0" w14:textId="77777777" w:rsidR="00E17A2C" w:rsidRDefault="00455D2C">
            <w:pPr>
              <w:pStyle w:val="T4dispositie"/>
              <w:rPr>
                <w:lang w:val="nl-NL"/>
              </w:rPr>
            </w:pPr>
            <w:r>
              <w:rPr>
                <w:lang w:val="nl-NL"/>
              </w:rPr>
              <w:t>Open Diapn</w:t>
            </w:r>
          </w:p>
          <w:p w14:paraId="236E64F9" w14:textId="77777777" w:rsidR="00E17A2C" w:rsidRDefault="00455D2C">
            <w:pPr>
              <w:pStyle w:val="T4dispositie"/>
              <w:rPr>
                <w:lang w:val="nl-NL"/>
              </w:rPr>
            </w:pPr>
            <w:r>
              <w:rPr>
                <w:lang w:val="nl-NL"/>
              </w:rPr>
              <w:t>Stopd Diapn B/D</w:t>
            </w:r>
          </w:p>
          <w:p w14:paraId="5D245E3A" w14:textId="77777777" w:rsidR="00E17A2C" w:rsidRDefault="00455D2C">
            <w:pPr>
              <w:pStyle w:val="T4dispositie"/>
              <w:rPr>
                <w:lang w:val="nl-NL"/>
              </w:rPr>
            </w:pPr>
            <w:r>
              <w:rPr>
                <w:lang w:val="nl-NL"/>
              </w:rPr>
              <w:t>Principal</w:t>
            </w:r>
          </w:p>
          <w:p w14:paraId="573FB2A2" w14:textId="77777777" w:rsidR="00E17A2C" w:rsidRDefault="00455D2C">
            <w:pPr>
              <w:pStyle w:val="T4dispositie"/>
              <w:rPr>
                <w:lang w:val="nl-NL"/>
              </w:rPr>
            </w:pPr>
            <w:r>
              <w:rPr>
                <w:lang w:val="nl-NL"/>
              </w:rPr>
              <w:t>Twelfth</w:t>
            </w:r>
          </w:p>
          <w:p w14:paraId="41B4C958" w14:textId="77777777" w:rsidR="00E17A2C" w:rsidRDefault="00455D2C">
            <w:pPr>
              <w:pStyle w:val="T4dispositie"/>
              <w:rPr>
                <w:lang w:val="nl-NL"/>
              </w:rPr>
            </w:pPr>
            <w:r>
              <w:rPr>
                <w:lang w:val="nl-NL"/>
              </w:rPr>
              <w:t>Fifteenth</w:t>
            </w:r>
          </w:p>
          <w:p w14:paraId="4F9CFC4D" w14:textId="77777777" w:rsidR="00E17A2C" w:rsidRDefault="00455D2C">
            <w:pPr>
              <w:pStyle w:val="T4dispositie"/>
              <w:rPr>
                <w:lang w:val="nl-NL"/>
              </w:rPr>
            </w:pPr>
            <w:r>
              <w:rPr>
                <w:lang w:val="nl-NL"/>
              </w:rPr>
              <w:t>Sesqtra &amp; Cornet</w:t>
            </w:r>
          </w:p>
        </w:tc>
        <w:tc>
          <w:tcPr>
            <w:tcW w:w="643" w:type="dxa"/>
          </w:tcPr>
          <w:p w14:paraId="5487ECD0" w14:textId="77777777" w:rsidR="00E17A2C" w:rsidRDefault="00E17A2C">
            <w:pPr>
              <w:pStyle w:val="T4dispositie"/>
              <w:rPr>
                <w:lang w:val="nl-NL"/>
              </w:rPr>
            </w:pPr>
          </w:p>
          <w:p w14:paraId="7D94D567" w14:textId="77777777" w:rsidR="00E17A2C" w:rsidRDefault="00E17A2C">
            <w:pPr>
              <w:pStyle w:val="T4dispositie"/>
              <w:rPr>
                <w:lang w:val="nl-NL"/>
              </w:rPr>
            </w:pPr>
          </w:p>
          <w:p w14:paraId="51CBDB8F" w14:textId="77777777" w:rsidR="00E17A2C" w:rsidRDefault="00E17A2C">
            <w:pPr>
              <w:pStyle w:val="T4dispositie"/>
              <w:rPr>
                <w:lang w:val="nl-NL"/>
              </w:rPr>
            </w:pPr>
          </w:p>
          <w:p w14:paraId="14B2E2A1" w14:textId="77777777" w:rsidR="00E17A2C" w:rsidRDefault="00455D2C">
            <w:pPr>
              <w:pStyle w:val="T4dispositie"/>
              <w:rPr>
                <w:lang w:val="nl-NL"/>
              </w:rPr>
            </w:pPr>
            <w:r>
              <w:rPr>
                <w:lang w:val="nl-NL"/>
              </w:rPr>
              <w:t>8’</w:t>
            </w:r>
          </w:p>
          <w:p w14:paraId="2DAD009F" w14:textId="77777777" w:rsidR="00E17A2C" w:rsidRDefault="00455D2C">
            <w:pPr>
              <w:pStyle w:val="T4dispositie"/>
              <w:rPr>
                <w:lang w:val="nl-NL"/>
              </w:rPr>
            </w:pPr>
            <w:r>
              <w:rPr>
                <w:lang w:val="nl-NL"/>
              </w:rPr>
              <w:t>8’</w:t>
            </w:r>
          </w:p>
          <w:p w14:paraId="60FDAE33" w14:textId="77777777" w:rsidR="00E17A2C" w:rsidRDefault="00455D2C">
            <w:pPr>
              <w:pStyle w:val="T4dispositie"/>
              <w:rPr>
                <w:lang w:val="nl-NL"/>
              </w:rPr>
            </w:pPr>
            <w:r>
              <w:rPr>
                <w:lang w:val="nl-NL"/>
              </w:rPr>
              <w:t>4’</w:t>
            </w:r>
          </w:p>
          <w:p w14:paraId="7F10BD94" w14:textId="77777777" w:rsidR="00E17A2C" w:rsidRDefault="00455D2C">
            <w:pPr>
              <w:pStyle w:val="T4dispositie"/>
              <w:rPr>
                <w:lang w:val="nl-NL"/>
              </w:rPr>
            </w:pPr>
            <w:r>
              <w:rPr>
                <w:lang w:val="nl-NL"/>
              </w:rPr>
              <w:t>3’</w:t>
            </w:r>
          </w:p>
          <w:p w14:paraId="4045DBEA" w14:textId="77777777" w:rsidR="00E17A2C" w:rsidRDefault="00455D2C">
            <w:pPr>
              <w:pStyle w:val="T4dispositie"/>
              <w:rPr>
                <w:lang w:val="nl-NL"/>
              </w:rPr>
            </w:pPr>
            <w:r>
              <w:rPr>
                <w:lang w:val="nl-NL"/>
              </w:rPr>
              <w:t>2’</w:t>
            </w:r>
          </w:p>
          <w:p w14:paraId="5312714E" w14:textId="77777777" w:rsidR="00E17A2C" w:rsidRDefault="00455D2C">
            <w:pPr>
              <w:pStyle w:val="T4dispositie"/>
              <w:rPr>
                <w:lang w:val="nl-NL"/>
              </w:rPr>
            </w:pPr>
            <w:r>
              <w:rPr>
                <w:lang w:val="nl-NL"/>
              </w:rPr>
              <w:t>3 st.</w:t>
            </w:r>
          </w:p>
        </w:tc>
        <w:tc>
          <w:tcPr>
            <w:tcW w:w="1420" w:type="dxa"/>
          </w:tcPr>
          <w:p w14:paraId="05919A40" w14:textId="77777777" w:rsidR="00E17A2C" w:rsidRDefault="00455D2C">
            <w:pPr>
              <w:pStyle w:val="T4dispositie"/>
              <w:rPr>
                <w:i/>
                <w:iCs/>
                <w:lang w:val="nl-NL"/>
              </w:rPr>
            </w:pPr>
            <w:r>
              <w:rPr>
                <w:i/>
                <w:iCs/>
                <w:lang w:val="nl-NL"/>
              </w:rPr>
              <w:t>Swell (II)</w:t>
            </w:r>
          </w:p>
          <w:p w14:paraId="3DD745B8" w14:textId="77777777" w:rsidR="00E17A2C" w:rsidRDefault="00455D2C">
            <w:pPr>
              <w:pStyle w:val="T4dispositie"/>
              <w:rPr>
                <w:lang w:val="nl-NL"/>
              </w:rPr>
            </w:pPr>
            <w:r>
              <w:rPr>
                <w:lang w:val="nl-NL"/>
              </w:rPr>
              <w:t>4 stemmen</w:t>
            </w:r>
          </w:p>
          <w:p w14:paraId="069A6DBA" w14:textId="77777777" w:rsidR="00E17A2C" w:rsidRDefault="00E17A2C">
            <w:pPr>
              <w:pStyle w:val="T4dispositie"/>
              <w:rPr>
                <w:lang w:val="nl-NL"/>
              </w:rPr>
            </w:pPr>
          </w:p>
          <w:p w14:paraId="6D702FCA" w14:textId="77777777" w:rsidR="00E17A2C" w:rsidRDefault="00455D2C">
            <w:pPr>
              <w:pStyle w:val="T4dispositie"/>
              <w:rPr>
                <w:lang w:val="nl-NL"/>
              </w:rPr>
            </w:pPr>
            <w:r>
              <w:rPr>
                <w:lang w:val="nl-NL"/>
              </w:rPr>
              <w:t>Open Diapn</w:t>
            </w:r>
          </w:p>
          <w:p w14:paraId="03E65392" w14:textId="77777777" w:rsidR="00E17A2C" w:rsidRDefault="00455D2C">
            <w:pPr>
              <w:pStyle w:val="T4dispositie"/>
              <w:rPr>
                <w:lang w:val="nl-NL"/>
              </w:rPr>
            </w:pPr>
            <w:r>
              <w:rPr>
                <w:lang w:val="nl-NL"/>
              </w:rPr>
              <w:t>Stopd Diapn</w:t>
            </w:r>
          </w:p>
          <w:p w14:paraId="3620ACD4" w14:textId="77777777" w:rsidR="00E17A2C" w:rsidRDefault="00455D2C">
            <w:pPr>
              <w:pStyle w:val="T4dispositie"/>
              <w:rPr>
                <w:lang w:val="nl-NL"/>
              </w:rPr>
            </w:pPr>
            <w:r>
              <w:rPr>
                <w:lang w:val="nl-NL"/>
              </w:rPr>
              <w:t>Principal</w:t>
            </w:r>
          </w:p>
          <w:p w14:paraId="1E9321FA" w14:textId="77777777" w:rsidR="00E17A2C" w:rsidRDefault="00455D2C">
            <w:pPr>
              <w:pStyle w:val="T4dispositie"/>
              <w:rPr>
                <w:lang w:val="nl-NL"/>
              </w:rPr>
            </w:pPr>
            <w:r>
              <w:rPr>
                <w:lang w:val="nl-NL"/>
              </w:rPr>
              <w:t>Hautboy*</w:t>
            </w:r>
          </w:p>
        </w:tc>
        <w:tc>
          <w:tcPr>
            <w:tcW w:w="451" w:type="dxa"/>
          </w:tcPr>
          <w:p w14:paraId="0D8B28F3" w14:textId="77777777" w:rsidR="00E17A2C" w:rsidRDefault="00E17A2C">
            <w:pPr>
              <w:pStyle w:val="T4dispositie"/>
              <w:rPr>
                <w:lang w:val="nl-NL"/>
              </w:rPr>
            </w:pPr>
          </w:p>
          <w:p w14:paraId="2EAE9D70" w14:textId="77777777" w:rsidR="00E17A2C" w:rsidRDefault="00E17A2C">
            <w:pPr>
              <w:pStyle w:val="T4dispositie"/>
              <w:rPr>
                <w:lang w:val="nl-NL"/>
              </w:rPr>
            </w:pPr>
          </w:p>
          <w:p w14:paraId="7BDA9D23" w14:textId="77777777" w:rsidR="00E17A2C" w:rsidRDefault="00E17A2C">
            <w:pPr>
              <w:pStyle w:val="T4dispositie"/>
              <w:rPr>
                <w:lang w:val="nl-NL"/>
              </w:rPr>
            </w:pPr>
          </w:p>
          <w:p w14:paraId="0CCB448D" w14:textId="77777777" w:rsidR="00E17A2C" w:rsidRDefault="00455D2C">
            <w:pPr>
              <w:pStyle w:val="T4dispositie"/>
              <w:rPr>
                <w:lang w:val="nl-NL"/>
              </w:rPr>
            </w:pPr>
            <w:r>
              <w:rPr>
                <w:lang w:val="nl-NL"/>
              </w:rPr>
              <w:t>8’</w:t>
            </w:r>
          </w:p>
          <w:p w14:paraId="6D117A03" w14:textId="77777777" w:rsidR="00E17A2C" w:rsidRDefault="00455D2C">
            <w:pPr>
              <w:pStyle w:val="T4dispositie"/>
              <w:rPr>
                <w:lang w:val="nl-NL"/>
              </w:rPr>
            </w:pPr>
            <w:r>
              <w:rPr>
                <w:lang w:val="nl-NL"/>
              </w:rPr>
              <w:t>8’</w:t>
            </w:r>
          </w:p>
          <w:p w14:paraId="5282A60C" w14:textId="77777777" w:rsidR="00E17A2C" w:rsidRDefault="00455D2C">
            <w:pPr>
              <w:pStyle w:val="T4dispositie"/>
              <w:rPr>
                <w:lang w:val="nl-NL"/>
              </w:rPr>
            </w:pPr>
            <w:r>
              <w:rPr>
                <w:lang w:val="nl-NL"/>
              </w:rPr>
              <w:t>4’</w:t>
            </w:r>
          </w:p>
          <w:p w14:paraId="7928F5FE" w14:textId="77777777" w:rsidR="00E17A2C" w:rsidRDefault="00455D2C">
            <w:pPr>
              <w:pStyle w:val="T4dispositie"/>
              <w:rPr>
                <w:lang w:val="nl-NL"/>
              </w:rPr>
            </w:pPr>
            <w:r>
              <w:rPr>
                <w:lang w:val="nl-NL"/>
              </w:rPr>
              <w:t>8’</w:t>
            </w:r>
          </w:p>
        </w:tc>
        <w:tc>
          <w:tcPr>
            <w:tcW w:w="1077" w:type="dxa"/>
          </w:tcPr>
          <w:p w14:paraId="33721719" w14:textId="77777777" w:rsidR="00E17A2C" w:rsidRDefault="00455D2C">
            <w:pPr>
              <w:pStyle w:val="T4dispositie"/>
              <w:rPr>
                <w:i/>
                <w:iCs/>
                <w:lang w:val="nl-NL"/>
              </w:rPr>
            </w:pPr>
            <w:r>
              <w:rPr>
                <w:i/>
                <w:iCs/>
                <w:lang w:val="nl-NL"/>
              </w:rPr>
              <w:t>Pedal</w:t>
            </w:r>
          </w:p>
          <w:p w14:paraId="3AECDD71" w14:textId="77777777" w:rsidR="00E17A2C" w:rsidRDefault="00455D2C">
            <w:pPr>
              <w:pStyle w:val="T4dispositie"/>
              <w:rPr>
                <w:lang w:val="nl-NL"/>
              </w:rPr>
            </w:pPr>
            <w:r>
              <w:rPr>
                <w:lang w:val="nl-NL"/>
              </w:rPr>
              <w:t>1 stem</w:t>
            </w:r>
          </w:p>
          <w:p w14:paraId="2BF81D35" w14:textId="77777777" w:rsidR="00E17A2C" w:rsidRDefault="00E17A2C">
            <w:pPr>
              <w:pStyle w:val="T4dispositie"/>
              <w:rPr>
                <w:lang w:val="nl-NL"/>
              </w:rPr>
            </w:pPr>
          </w:p>
          <w:p w14:paraId="688535F8" w14:textId="77777777" w:rsidR="00E17A2C" w:rsidRDefault="00455D2C">
            <w:pPr>
              <w:pStyle w:val="T4dispositie"/>
              <w:rPr>
                <w:lang w:val="nl-NL"/>
              </w:rPr>
            </w:pPr>
            <w:r>
              <w:rPr>
                <w:lang w:val="nl-NL"/>
              </w:rPr>
              <w:t>Bourdon</w:t>
            </w:r>
          </w:p>
        </w:tc>
        <w:tc>
          <w:tcPr>
            <w:tcW w:w="568" w:type="dxa"/>
          </w:tcPr>
          <w:p w14:paraId="59746261" w14:textId="77777777" w:rsidR="00E17A2C" w:rsidRDefault="00E17A2C">
            <w:pPr>
              <w:pStyle w:val="T4dispositie"/>
              <w:rPr>
                <w:lang w:val="nl-NL"/>
              </w:rPr>
            </w:pPr>
          </w:p>
          <w:p w14:paraId="60EF03AB" w14:textId="77777777" w:rsidR="00E17A2C" w:rsidRDefault="00E17A2C">
            <w:pPr>
              <w:pStyle w:val="T4dispositie"/>
              <w:rPr>
                <w:lang w:val="nl-NL"/>
              </w:rPr>
            </w:pPr>
          </w:p>
          <w:p w14:paraId="4C6CAE8E" w14:textId="77777777" w:rsidR="00E17A2C" w:rsidRDefault="00E17A2C">
            <w:pPr>
              <w:pStyle w:val="T4dispositie"/>
              <w:rPr>
                <w:lang w:val="nl-NL"/>
              </w:rPr>
            </w:pPr>
          </w:p>
          <w:p w14:paraId="00716BF6" w14:textId="77777777" w:rsidR="00E17A2C" w:rsidRDefault="00455D2C">
            <w:pPr>
              <w:pStyle w:val="T4dispositie"/>
              <w:rPr>
                <w:lang w:val="nl-NL"/>
              </w:rPr>
            </w:pPr>
            <w:r>
              <w:rPr>
                <w:lang w:val="nl-NL"/>
              </w:rPr>
              <w:t>16’</w:t>
            </w:r>
          </w:p>
        </w:tc>
      </w:tr>
    </w:tbl>
    <w:p w14:paraId="3F0E0080" w14:textId="77777777" w:rsidR="00E17A2C" w:rsidRDefault="00E17A2C">
      <w:pPr>
        <w:pStyle w:val="T4dispositie"/>
      </w:pPr>
    </w:p>
    <w:p w14:paraId="1735FBCB" w14:textId="77777777" w:rsidR="00E17A2C" w:rsidRDefault="00455D2C">
      <w:pPr>
        <w:pStyle w:val="T4dispositie"/>
      </w:pPr>
      <w:r>
        <w:t>* in werkelijkheid Trompet</w:t>
      </w:r>
    </w:p>
    <w:p w14:paraId="0D0948E8" w14:textId="77777777" w:rsidR="00E17A2C" w:rsidRDefault="00E17A2C">
      <w:pPr>
        <w:pStyle w:val="T1"/>
        <w:rPr>
          <w:lang w:val="nl-NL"/>
        </w:rPr>
      </w:pPr>
    </w:p>
    <w:p w14:paraId="383E9B90" w14:textId="77777777" w:rsidR="00E17A2C" w:rsidRDefault="00455D2C">
      <w:pPr>
        <w:pStyle w:val="T1"/>
        <w:rPr>
          <w:lang w:val="nl-NL"/>
        </w:rPr>
      </w:pPr>
      <w:r>
        <w:rPr>
          <w:lang w:val="nl-NL"/>
        </w:rPr>
        <w:t>Werktuiglijke registers</w:t>
      </w:r>
    </w:p>
    <w:p w14:paraId="54E2AE64" w14:textId="77777777" w:rsidR="00E17A2C" w:rsidRDefault="00455D2C">
      <w:pPr>
        <w:pStyle w:val="T1"/>
        <w:rPr>
          <w:lang w:val="nl-NL"/>
        </w:rPr>
      </w:pPr>
      <w:r>
        <w:rPr>
          <w:lang w:val="nl-NL"/>
        </w:rPr>
        <w:t>koppelingen Great &amp; Pedal (momenteel altijd ingeschakeld), Swell &amp; Great</w:t>
      </w:r>
    </w:p>
    <w:p w14:paraId="17490C52" w14:textId="77777777" w:rsidR="00E17A2C" w:rsidRDefault="00455D2C">
      <w:pPr>
        <w:pStyle w:val="T1"/>
        <w:rPr>
          <w:lang w:val="nl-NL"/>
        </w:rPr>
      </w:pPr>
      <w:r>
        <w:rPr>
          <w:lang w:val="nl-NL"/>
        </w:rPr>
        <w:t>Trigger Swell (trede, buiten gebruik)</w:t>
      </w:r>
    </w:p>
    <w:p w14:paraId="686A5F08" w14:textId="77777777" w:rsidR="00E17A2C" w:rsidRDefault="00455D2C">
      <w:pPr>
        <w:pStyle w:val="T1"/>
        <w:rPr>
          <w:lang w:val="nl-NL"/>
        </w:rPr>
      </w:pPr>
      <w:r>
        <w:rPr>
          <w:lang w:val="nl-NL"/>
        </w:rPr>
        <w:t>Forte lever (trede, buiten gebruik)</w:t>
      </w:r>
    </w:p>
    <w:p w14:paraId="53CCAD6A" w14:textId="77777777" w:rsidR="00E17A2C" w:rsidRDefault="00455D2C">
      <w:pPr>
        <w:pStyle w:val="T1"/>
        <w:rPr>
          <w:lang w:val="nl-NL"/>
        </w:rPr>
      </w:pPr>
      <w:r>
        <w:rPr>
          <w:lang w:val="nl-NL"/>
        </w:rPr>
        <w:t xml:space="preserve"> </w:t>
      </w:r>
    </w:p>
    <w:p w14:paraId="6E25B0D8" w14:textId="77777777" w:rsidR="00E17A2C" w:rsidRDefault="00455D2C">
      <w:pPr>
        <w:pStyle w:val="T1"/>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2264"/>
        <w:gridCol w:w="718"/>
        <w:gridCol w:w="729"/>
      </w:tblGrid>
      <w:tr w:rsidR="00E17A2C" w14:paraId="4DA28664" w14:textId="77777777">
        <w:tc>
          <w:tcPr>
            <w:tcW w:w="2264" w:type="dxa"/>
          </w:tcPr>
          <w:p w14:paraId="36FE398B" w14:textId="77777777" w:rsidR="00E17A2C" w:rsidRDefault="00455D2C">
            <w:pPr>
              <w:pStyle w:val="T1"/>
              <w:rPr>
                <w:lang w:val="nl-NL"/>
              </w:rPr>
            </w:pPr>
            <w:r>
              <w:rPr>
                <w:lang w:val="nl-NL"/>
              </w:rPr>
              <w:t>Sesqualtera &amp; Cornet</w:t>
            </w:r>
          </w:p>
        </w:tc>
        <w:tc>
          <w:tcPr>
            <w:tcW w:w="718" w:type="dxa"/>
          </w:tcPr>
          <w:p w14:paraId="51F252B3" w14:textId="77777777" w:rsidR="00E17A2C" w:rsidRDefault="00455D2C">
            <w:pPr>
              <w:pStyle w:val="T4dispositie"/>
              <w:rPr>
                <w:lang w:val="nl-NL"/>
              </w:rPr>
            </w:pPr>
            <w:r>
              <w:rPr>
                <w:lang w:val="nl-NL"/>
              </w:rPr>
              <w:t>C</w:t>
            </w:r>
          </w:p>
          <w:p w14:paraId="585B88A0" w14:textId="77777777" w:rsidR="00E17A2C" w:rsidRDefault="00455D2C">
            <w:pPr>
              <w:pStyle w:val="T4dispositie"/>
              <w:rPr>
                <w:lang w:val="nl-NL"/>
              </w:rPr>
            </w:pPr>
            <w:r>
              <w:rPr>
                <w:lang w:val="nl-NL"/>
              </w:rPr>
              <w:t>1 3/5</w:t>
            </w:r>
          </w:p>
          <w:p w14:paraId="4A9535AB" w14:textId="77777777" w:rsidR="00E17A2C" w:rsidRDefault="00455D2C">
            <w:pPr>
              <w:pStyle w:val="T4dispositie"/>
              <w:rPr>
                <w:lang w:val="nl-NL"/>
              </w:rPr>
            </w:pPr>
            <w:r>
              <w:rPr>
                <w:lang w:val="nl-NL"/>
              </w:rPr>
              <w:t>1 1/3</w:t>
            </w:r>
          </w:p>
          <w:p w14:paraId="5938CF44" w14:textId="77777777" w:rsidR="00E17A2C" w:rsidRDefault="00455D2C">
            <w:pPr>
              <w:pStyle w:val="T4dispositie"/>
              <w:rPr>
                <w:lang w:val="nl-NL"/>
              </w:rPr>
            </w:pPr>
            <w:r>
              <w:rPr>
                <w:lang w:val="nl-NL"/>
              </w:rPr>
              <w:t>1</w:t>
            </w:r>
          </w:p>
        </w:tc>
        <w:tc>
          <w:tcPr>
            <w:tcW w:w="729" w:type="dxa"/>
          </w:tcPr>
          <w:p w14:paraId="73743DFD" w14:textId="77777777" w:rsidR="00E17A2C" w:rsidRDefault="00455D2C">
            <w:pPr>
              <w:pStyle w:val="T4dispositie"/>
              <w:rPr>
                <w:vertAlign w:val="superscript"/>
                <w:lang w:val="nl-NL"/>
              </w:rPr>
            </w:pPr>
            <w:r>
              <w:rPr>
                <w:lang w:val="nl-NL"/>
              </w:rPr>
              <w:t>c</w:t>
            </w:r>
            <w:r>
              <w:rPr>
                <w:vertAlign w:val="superscript"/>
                <w:lang w:val="nl-NL"/>
              </w:rPr>
              <w:t>1</w:t>
            </w:r>
          </w:p>
          <w:p w14:paraId="4D7B0E64" w14:textId="77777777" w:rsidR="00E17A2C" w:rsidRDefault="00455D2C">
            <w:pPr>
              <w:pStyle w:val="T4dispositie"/>
              <w:rPr>
                <w:lang w:val="nl-NL"/>
              </w:rPr>
            </w:pPr>
            <w:r>
              <w:rPr>
                <w:lang w:val="nl-NL"/>
              </w:rPr>
              <w:t>2 2/3</w:t>
            </w:r>
          </w:p>
          <w:p w14:paraId="04E3F95C" w14:textId="77777777" w:rsidR="00E17A2C" w:rsidRDefault="00455D2C">
            <w:pPr>
              <w:pStyle w:val="T4dispositie"/>
              <w:rPr>
                <w:lang w:val="nl-NL"/>
              </w:rPr>
            </w:pPr>
            <w:r>
              <w:rPr>
                <w:lang w:val="nl-NL"/>
              </w:rPr>
              <w:t>2</w:t>
            </w:r>
          </w:p>
          <w:p w14:paraId="38E1E888" w14:textId="77777777" w:rsidR="00E17A2C" w:rsidRDefault="00455D2C">
            <w:pPr>
              <w:pStyle w:val="T4dispositie"/>
              <w:rPr>
                <w:lang w:val="nl-NL"/>
              </w:rPr>
            </w:pPr>
            <w:r>
              <w:rPr>
                <w:lang w:val="nl-NL"/>
              </w:rPr>
              <w:t>1 3/5</w:t>
            </w:r>
          </w:p>
        </w:tc>
      </w:tr>
    </w:tbl>
    <w:p w14:paraId="6F0A9420" w14:textId="77777777" w:rsidR="00E17A2C" w:rsidRDefault="00E17A2C">
      <w:pPr>
        <w:pStyle w:val="T1"/>
        <w:rPr>
          <w:lang w:val="nl-NL"/>
        </w:rPr>
      </w:pPr>
    </w:p>
    <w:p w14:paraId="03E17BC0" w14:textId="77777777" w:rsidR="00E17A2C" w:rsidRDefault="00455D2C">
      <w:pPr>
        <w:pStyle w:val="T1"/>
        <w:rPr>
          <w:lang w:val="nl-NL"/>
        </w:rPr>
      </w:pPr>
      <w:r>
        <w:rPr>
          <w:lang w:val="nl-NL"/>
        </w:rPr>
        <w:t>Toonhoogte</w:t>
      </w:r>
    </w:p>
    <w:p w14:paraId="7C552C6B" w14:textId="77777777" w:rsidR="00E17A2C" w:rsidRDefault="00455D2C">
      <w:pPr>
        <w:pStyle w:val="T1"/>
        <w:rPr>
          <w:lang w:val="nl-NL"/>
        </w:rPr>
      </w:pPr>
      <w:r>
        <w:rPr>
          <w:lang w:val="nl-NL"/>
        </w:rPr>
        <w:t>a</w:t>
      </w:r>
      <w:r>
        <w:rPr>
          <w:vertAlign w:val="superscript"/>
          <w:lang w:val="nl-NL"/>
        </w:rPr>
        <w:t>1</w:t>
      </w:r>
      <w:r>
        <w:rPr>
          <w:lang w:val="nl-NL"/>
        </w:rPr>
        <w:t xml:space="preserve"> = 445 Hz</w:t>
      </w:r>
      <w:r>
        <w:rPr>
          <w:lang w:val="nl-NL"/>
        </w:rPr>
        <w:tab/>
      </w:r>
    </w:p>
    <w:p w14:paraId="6A96037F" w14:textId="77777777" w:rsidR="00E17A2C" w:rsidRDefault="00455D2C">
      <w:pPr>
        <w:pStyle w:val="T1"/>
        <w:rPr>
          <w:lang w:val="nl-NL"/>
        </w:rPr>
      </w:pPr>
      <w:r>
        <w:rPr>
          <w:lang w:val="nl-NL"/>
        </w:rPr>
        <w:t>Temperatuur</w:t>
      </w:r>
    </w:p>
    <w:p w14:paraId="18111E71" w14:textId="77777777" w:rsidR="00E17A2C" w:rsidRDefault="00455D2C">
      <w:pPr>
        <w:pStyle w:val="T1"/>
        <w:rPr>
          <w:lang w:val="nl-NL"/>
        </w:rPr>
      </w:pPr>
      <w:r>
        <w:rPr>
          <w:lang w:val="nl-NL"/>
        </w:rPr>
        <w:t>1/5 komma, gemodificeerd</w:t>
      </w:r>
    </w:p>
    <w:p w14:paraId="63C99FD4" w14:textId="77777777" w:rsidR="00E17A2C" w:rsidRDefault="00E17A2C">
      <w:pPr>
        <w:pStyle w:val="T1"/>
        <w:rPr>
          <w:lang w:val="nl-NL"/>
        </w:rPr>
      </w:pPr>
    </w:p>
    <w:p w14:paraId="49056C7F" w14:textId="77777777" w:rsidR="00E17A2C" w:rsidRDefault="00455D2C">
      <w:pPr>
        <w:pStyle w:val="T1"/>
        <w:rPr>
          <w:lang w:val="nl-NL"/>
        </w:rPr>
      </w:pPr>
      <w:r>
        <w:rPr>
          <w:lang w:val="nl-NL"/>
        </w:rPr>
        <w:t>Manuaalomvang</w:t>
      </w:r>
    </w:p>
    <w:p w14:paraId="70200DDD" w14:textId="77777777" w:rsidR="00E17A2C" w:rsidRDefault="00455D2C">
      <w:pPr>
        <w:pStyle w:val="T1"/>
        <w:rPr>
          <w:lang w:val="nl-NL"/>
        </w:rPr>
      </w:pPr>
      <w:r>
        <w:rPr>
          <w:lang w:val="nl-NL"/>
        </w:rPr>
        <w:t>Great C-f</w:t>
      </w:r>
      <w:r>
        <w:rPr>
          <w:vertAlign w:val="superscript"/>
          <w:lang w:val="nl-NL"/>
        </w:rPr>
        <w:t>3</w:t>
      </w:r>
      <w:r>
        <w:rPr>
          <w:lang w:val="nl-NL"/>
        </w:rPr>
        <w:t>, Swell g-e</w:t>
      </w:r>
      <w:r>
        <w:rPr>
          <w:vertAlign w:val="superscript"/>
          <w:lang w:val="nl-NL"/>
        </w:rPr>
        <w:t>3</w:t>
      </w:r>
      <w:r>
        <w:rPr>
          <w:lang w:val="nl-NL"/>
        </w:rPr>
        <w:tab/>
      </w:r>
    </w:p>
    <w:p w14:paraId="18C0CD4D" w14:textId="77777777" w:rsidR="00E17A2C" w:rsidRDefault="00455D2C">
      <w:pPr>
        <w:pStyle w:val="T1"/>
        <w:rPr>
          <w:lang w:val="nl-NL"/>
        </w:rPr>
      </w:pPr>
      <w:r>
        <w:rPr>
          <w:lang w:val="nl-NL"/>
        </w:rPr>
        <w:t>Pedaalomvang</w:t>
      </w:r>
    </w:p>
    <w:p w14:paraId="3790B9BF" w14:textId="77777777" w:rsidR="00E17A2C" w:rsidRDefault="00455D2C">
      <w:pPr>
        <w:pStyle w:val="T1"/>
        <w:rPr>
          <w:vertAlign w:val="superscript"/>
          <w:lang w:val="nl-NL"/>
        </w:rPr>
      </w:pPr>
      <w:r>
        <w:rPr>
          <w:lang w:val="nl-NL"/>
        </w:rPr>
        <w:t>C-d</w:t>
      </w:r>
      <w:r>
        <w:rPr>
          <w:vertAlign w:val="superscript"/>
          <w:lang w:val="nl-NL"/>
        </w:rPr>
        <w:t>1</w:t>
      </w:r>
    </w:p>
    <w:p w14:paraId="4632A5C2" w14:textId="77777777" w:rsidR="00E17A2C" w:rsidRDefault="00E17A2C">
      <w:pPr>
        <w:pStyle w:val="T1"/>
        <w:rPr>
          <w:lang w:val="nl-NL"/>
        </w:rPr>
      </w:pPr>
    </w:p>
    <w:p w14:paraId="200DE75C" w14:textId="77777777" w:rsidR="00E17A2C" w:rsidRDefault="00455D2C">
      <w:pPr>
        <w:pStyle w:val="T1"/>
        <w:rPr>
          <w:lang w:val="nl-NL"/>
        </w:rPr>
      </w:pPr>
      <w:r>
        <w:rPr>
          <w:lang w:val="nl-NL"/>
        </w:rPr>
        <w:t>Windvoorziening</w:t>
      </w:r>
    </w:p>
    <w:p w14:paraId="50716CC4" w14:textId="77777777" w:rsidR="00E17A2C" w:rsidRDefault="00455D2C">
      <w:pPr>
        <w:pStyle w:val="T1"/>
        <w:rPr>
          <w:lang w:val="nl-NL"/>
        </w:rPr>
      </w:pPr>
      <w:r>
        <w:rPr>
          <w:lang w:val="nl-NL"/>
        </w:rPr>
        <w:t>magazijnbalg (met niet meer functionerende schepbalg)</w:t>
      </w:r>
    </w:p>
    <w:p w14:paraId="2A668BD2" w14:textId="77777777" w:rsidR="00E17A2C" w:rsidRDefault="00455D2C">
      <w:pPr>
        <w:pStyle w:val="T1"/>
        <w:rPr>
          <w:lang w:val="nl-NL"/>
        </w:rPr>
      </w:pPr>
      <w:r>
        <w:rPr>
          <w:lang w:val="nl-NL"/>
        </w:rPr>
        <w:lastRenderedPageBreak/>
        <w:t>Winddruk</w:t>
      </w:r>
    </w:p>
    <w:p w14:paraId="3B0ED15A" w14:textId="77777777" w:rsidR="00E17A2C" w:rsidRDefault="00455D2C">
      <w:pPr>
        <w:pStyle w:val="T1"/>
        <w:rPr>
          <w:lang w:val="nl-NL"/>
        </w:rPr>
      </w:pPr>
      <w:r>
        <w:rPr>
          <w:lang w:val="nl-NL"/>
        </w:rPr>
        <w:t>84 mm</w:t>
      </w:r>
    </w:p>
    <w:p w14:paraId="42825046" w14:textId="77777777" w:rsidR="00E17A2C" w:rsidRDefault="00E17A2C">
      <w:pPr>
        <w:pStyle w:val="T1"/>
        <w:rPr>
          <w:lang w:val="nl-NL"/>
        </w:rPr>
      </w:pPr>
    </w:p>
    <w:p w14:paraId="1C4E5A75" w14:textId="77777777" w:rsidR="00E17A2C" w:rsidRDefault="00455D2C">
      <w:pPr>
        <w:pStyle w:val="T1"/>
        <w:rPr>
          <w:lang w:val="nl-NL"/>
        </w:rPr>
      </w:pPr>
      <w:r>
        <w:rPr>
          <w:lang w:val="nl-NL"/>
        </w:rPr>
        <w:t>Plaats klaviatuur</w:t>
      </w:r>
    </w:p>
    <w:p w14:paraId="04F109DB" w14:textId="77777777" w:rsidR="00E17A2C" w:rsidRDefault="00455D2C">
      <w:pPr>
        <w:pStyle w:val="T1"/>
        <w:rPr>
          <w:lang w:val="nl-NL"/>
        </w:rPr>
      </w:pPr>
      <w:r>
        <w:rPr>
          <w:lang w:val="nl-NL"/>
        </w:rPr>
        <w:t>voorzijde</w:t>
      </w:r>
      <w:r>
        <w:rPr>
          <w:lang w:val="nl-NL"/>
        </w:rPr>
        <w:tab/>
      </w:r>
    </w:p>
    <w:p w14:paraId="2E13D7BF" w14:textId="77777777" w:rsidR="00E17A2C" w:rsidRDefault="00455D2C">
      <w:pPr>
        <w:pStyle w:val="Heading2"/>
        <w:rPr>
          <w:i w:val="0"/>
          <w:iCs/>
        </w:rPr>
      </w:pPr>
      <w:r>
        <w:rPr>
          <w:i w:val="0"/>
          <w:iCs/>
        </w:rPr>
        <w:t>Bijzonderheden</w:t>
      </w:r>
    </w:p>
    <w:p w14:paraId="4A489546" w14:textId="77777777" w:rsidR="00E17A2C" w:rsidRDefault="00E17A2C">
      <w:pPr>
        <w:pStyle w:val="T1"/>
        <w:rPr>
          <w:lang w:val="nl-NL"/>
        </w:rPr>
      </w:pPr>
    </w:p>
    <w:p w14:paraId="5D9384EE" w14:textId="77777777" w:rsidR="00E17A2C" w:rsidRDefault="00455D2C">
      <w:pPr>
        <w:pStyle w:val="T1"/>
        <w:jc w:val="left"/>
        <w:rPr>
          <w:lang w:val="nl-NL"/>
        </w:rPr>
      </w:pPr>
      <w:r>
        <w:rPr>
          <w:lang w:val="nl-NL"/>
        </w:rPr>
        <w:t>Deling B/D tussen H en c.</w:t>
      </w:r>
    </w:p>
    <w:p w14:paraId="7F5F8AE1" w14:textId="77777777" w:rsidR="00E17A2C" w:rsidRDefault="00455D2C">
      <w:pPr>
        <w:pStyle w:val="T1"/>
        <w:jc w:val="left"/>
        <w:rPr>
          <w:lang w:val="nl-NL"/>
        </w:rPr>
      </w:pPr>
      <w:r>
        <w:rPr>
          <w:lang w:val="nl-NL"/>
        </w:rPr>
        <w:t>Het orgel is omstreeks 1850 gemaakt met pijpwerk en enige kasdelen van een orgel uit de tweede helft van de 18e eeuw. Daarvan wordt verondersteld dat het een vroeg werk is van de orgelmaker Green, waaraan een tweede manuaal (Swell) werd toegevoegd, afkomstig van een orgel in Wareham (ca 1820). Dit zou ook de afwijkende klavieromvang van het tweede manuaal kunnen verklaren.</w:t>
      </w:r>
    </w:p>
    <w:p w14:paraId="0F5FD393" w14:textId="77777777" w:rsidR="00E17A2C" w:rsidRDefault="00455D2C">
      <w:pPr>
        <w:pStyle w:val="T1"/>
        <w:jc w:val="left"/>
        <w:rPr>
          <w:lang w:val="nl-NL"/>
        </w:rPr>
      </w:pPr>
      <w:r>
        <w:rPr>
          <w:lang w:val="nl-NL"/>
        </w:rPr>
        <w:t>De windladen van Great en Swell zijn chromatisch ingedeeld. De lade van het Swell is achter die van het Great geplaatst en ligt ook veel hoger. De Bourdon 16’ staat achter het orgel, buiten de orgelkas, op een mechanische lade. Alle frontpijpen zijn beschilderde houten imitatie-pijpen.</w:t>
      </w:r>
    </w:p>
    <w:p w14:paraId="6A446F5D" w14:textId="77777777" w:rsidR="00E17A2C" w:rsidRDefault="00455D2C">
      <w:pPr>
        <w:pStyle w:val="T1"/>
        <w:jc w:val="left"/>
        <w:rPr>
          <w:lang w:val="nl-NL"/>
        </w:rPr>
      </w:pPr>
      <w:r>
        <w:rPr>
          <w:lang w:val="nl-NL"/>
        </w:rPr>
        <w:t>De Trigger Swell is een trede met vaste standen. De zwelkast, waarin Man II was geplaatst is thans verwijderd.</w:t>
      </w:r>
    </w:p>
    <w:p w14:paraId="5E712F21" w14:textId="77777777" w:rsidR="00E17A2C" w:rsidRDefault="00455D2C">
      <w:pPr>
        <w:pStyle w:val="T1"/>
        <w:jc w:val="left"/>
        <w:rPr>
          <w:lang w:val="nl-NL"/>
        </w:rPr>
      </w:pPr>
      <w:r>
        <w:rPr>
          <w:lang w:val="nl-NL"/>
        </w:rPr>
        <w:t>Afgezien van enige moderne toevoegingen bevat het orgel pijpwerk uit de 17e, 18e en 19e eeuw. De Principal 4’ van het Swell dateert van ca 1680 en wordt toegeschreven aan Bernard (Father) Smith. De registers Open Diapn 8’, Stopd Diapn B/D 8’, Principal 4’ en Fifteenth 2’ (Great), alsmede de Bourdon 16’ (Pedal) stammen uit de tweede helft van de 18e eeuw en worden toegeschreven aan de orgelmaker Green. De Stopd Diapn 8’ van het Swell is van een onbekende maker en dateert van ca 1820. De Open Diapn 8’ (Swell) dateert van ca 1850.</w:t>
      </w:r>
    </w:p>
    <w:p w14:paraId="3729F7DB" w14:textId="77777777" w:rsidR="00455D2C" w:rsidRDefault="00455D2C">
      <w:pPr>
        <w:pStyle w:val="T1"/>
        <w:jc w:val="left"/>
        <w:rPr>
          <w:lang w:val="nl-NL"/>
        </w:rPr>
      </w:pPr>
      <w:r>
        <w:rPr>
          <w:lang w:val="nl-NL"/>
        </w:rPr>
        <w:t>De beide registers Stopped Diapason bestaan geheel uit houten gedekte pijpen. De Hautboy was een fabrieksregister dat bij de plaatsing te Groningen is verwijderd. Op deze plaats staat nu tijdelijk een Trompet. Het registernaambordje is niet veranderd.</w:t>
      </w:r>
    </w:p>
    <w:sectPr w:rsidR="00455D2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D4CE3"/>
    <w:multiLevelType w:val="hybridMultilevel"/>
    <w:tmpl w:val="BDC4976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A6"/>
    <w:rsid w:val="00455D2C"/>
    <w:rsid w:val="004667A6"/>
    <w:rsid w:val="00835B3C"/>
    <w:rsid w:val="00DD19EF"/>
    <w:rsid w:val="00E1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412CCF"/>
  <w15:chartTrackingRefBased/>
  <w15:docId w15:val="{7F96ADB3-C2BE-0840-AA6D-A47C542F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567</Words>
  <Characters>3237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Groningen / ca 1850</vt:lpstr>
    </vt:vector>
  </TitlesOfParts>
  <Company>NIvO</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Groningen / ca 1850</dc:title>
  <dc:subject/>
  <dc:creator>WS1</dc:creator>
  <cp:keywords/>
  <dc:description/>
  <cp:lastModifiedBy>Eline J Duijsens</cp:lastModifiedBy>
  <cp:revision>4</cp:revision>
  <dcterms:created xsi:type="dcterms:W3CDTF">2021-09-20T09:45:00Z</dcterms:created>
  <dcterms:modified xsi:type="dcterms:W3CDTF">2021-09-27T08:42:00Z</dcterms:modified>
</cp:coreProperties>
</file>