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Schijndel / 1852</w:t>
      </w:r>
    </w:p>
    <w:p>
      <w:pPr>
        <w:pStyle w:val="Heading2"/>
        <w:rPr>
          <w:i w:val="false"/>
          <w:i w:val="false"/>
          <w:iCs w:val="false"/>
        </w:rPr>
      </w:pPr>
      <w:r>
        <w:rPr>
          <w:i w:val="false"/>
          <w:iCs w:val="false"/>
        </w:rPr>
        <w:t>R.K. St-Servatiuskerk</w:t>
      </w:r>
    </w:p>
    <w:p>
      <w:pPr>
        <w:pStyle w:val="T1"/>
        <w:jc w:val="start"/>
        <w:rPr>
          <w:i/>
          <w:i/>
          <w:iCs/>
          <w:lang w:val="nl-NL"/>
        </w:rPr>
      </w:pPr>
      <w:r>
        <w:rPr>
          <w:i/>
          <w:iCs/>
          <w:lang w:val="nl-NL"/>
        </w:rPr>
      </w:r>
    </w:p>
    <w:p>
      <w:pPr>
        <w:pStyle w:val="T1"/>
        <w:jc w:val="start"/>
        <w:rPr>
          <w:i/>
          <w:i/>
          <w:iCs/>
          <w:lang w:val="nl-NL"/>
        </w:rPr>
      </w:pPr>
      <w:r>
        <w:rPr>
          <w:i/>
          <w:iCs/>
          <w:lang w:val="nl-NL"/>
        </w:rPr>
        <w:t>Driebeukige neogotische basiliek uit 1839-1841 met middeleeuwse bestanddelen, gebouwd tegen een toren uit 1525. Inwendig stergewelven uit hout en stuc. Preekstoel uit 1855 door H. Peeters-Dievoort. Omvangrijk neogotisch hoogaltaar uit 1858 door het atelier Cuypers-Stoltzenberg.</w:t>
      </w:r>
    </w:p>
    <w:p>
      <w:pPr>
        <w:pStyle w:val="T1"/>
        <w:jc w:val="start"/>
        <w:rPr>
          <w:i/>
          <w:i/>
          <w:iCs/>
          <w:lang w:val="nl-NL"/>
        </w:rPr>
      </w:pPr>
      <w:r>
        <w:rPr>
          <w:i/>
          <w:iCs/>
          <w:lang w:val="nl-NL"/>
        </w:rPr>
      </w:r>
    </w:p>
    <w:p>
      <w:pPr>
        <w:pStyle w:val="T1"/>
        <w:jc w:val="start"/>
        <w:rPr>
          <w:lang w:val="nl-NL"/>
        </w:rPr>
      </w:pPr>
      <w:r>
        <w:rPr>
          <w:lang w:val="nl-NL"/>
        </w:rPr>
        <w:t>Kas: 1852</w:t>
      </w:r>
    </w:p>
    <w:p>
      <w:pPr>
        <w:pStyle w:val="T1"/>
        <w:jc w:val="start"/>
        <w:rPr>
          <w:lang w:val="nl-NL"/>
        </w:rPr>
      </w:pPr>
      <w:r>
        <w:rPr>
          <w:lang w:val="nl-NL"/>
        </w:rPr>
      </w:r>
    </w:p>
    <w:p>
      <w:pPr>
        <w:pStyle w:val="Heading2"/>
        <w:rPr>
          <w:i w:val="false"/>
          <w:i w:val="false"/>
          <w:iCs w:val="false"/>
        </w:rPr>
      </w:pPr>
      <w:r>
        <w:rPr>
          <w:i w:val="false"/>
          <w:iCs w:val="false"/>
        </w:rPr>
        <w:t>Kunsthistorische aspecten</w:t>
      </w:r>
    </w:p>
    <w:p>
      <w:pPr>
        <w:pStyle w:val="T2Kunst"/>
        <w:jc w:val="start"/>
        <w:rPr>
          <w:lang w:val="nl-NL"/>
        </w:rPr>
      </w:pPr>
      <w:r>
        <w:rPr>
          <w:lang w:val="nl-NL"/>
        </w:rPr>
        <w:t>Het eerste orgel van Smits met een neogotische kas. Deze werd vervaardigd door de schrijnwerker en beeldhouwer J. Beuyssen uit Boxmeer. Het is aan te nemen dat Smits zelf het basisontwerp maakte. Hij greep voor dit orgel namelijk terug op de hoofdkas van zijn orgel in de St-Pieter in 's-Hertogenbosch, thans te Oirschot (deel 1840-1849, 288-291) en vertaalde het concept daarvan in gotische vormen. Hij deed dat echter zodanig dat er iets geheel nieuws tot stand kwam.</w:t>
      </w:r>
    </w:p>
    <w:p>
      <w:pPr>
        <w:pStyle w:val="T2Kunst"/>
        <w:jc w:val="start"/>
        <w:rPr>
          <w:lang w:val="nl-NL"/>
        </w:rPr>
      </w:pPr>
      <w:r>
        <w:rPr>
          <w:lang w:val="nl-NL"/>
        </w:rPr>
        <w:t xml:space="preserve">De hoofdkas van het orgel in Oirschot heeft een zevendelige opbouw en bestaat uit een ronde gedeelde middentoren, geflankeerd door respectievelijk vlakke tweedelige binnen-tussenvelden, waarbij elk veld als spiegelveld is opgezet, brede ietwat geronde buiten-tussenvelden en ten slotte geronde smalle tweedelige zijvelden. </w:t>
      </w:r>
    </w:p>
    <w:p>
      <w:pPr>
        <w:pStyle w:val="T2Kunst"/>
        <w:jc w:val="start"/>
        <w:rPr/>
      </w:pPr>
      <w:r>
        <w:rPr>
          <w:lang w:val="nl-NL"/>
        </w:rPr>
        <w:t xml:space="preserve">Wat doet Smits nu met dit concept in Schijndel? In de eerste plaats comprimeert hij het enigszins, maar dat is niet het belangrijkste. Van meer betekenis is dat hij accenten verlegt. De gedeelde middentoren van Oirschot is ook in Schijndel te vinden. Deze is hier echter smaller geworden en dus minder dominant. De vlakke binnen-tussenvelden die dan in Oirschot volgen zijn in Schijndel ook overgenomen, maar niet als spiegelvelden; beide etages van de velden hebben een V-vormig labiumverloop.  Belangrijker is echter dat zij niet vlak zijn, zoals in Oirschot, maar enigszins schuin geplaatst, waardoor zij prominenter werken. De geronde forse velden die dan in Oirschot volgen, zijn in Schijndel nu juist weer vlak, terwijl zij ook smaller zijn: in Oirschot zes pijpen, in Schijndel vier. De buitenste velden, die in Oirschot tamelijk onopvallend werken, zijn in Schijndel opgewaardeerd tot ongedeelde torens. Deze zijn weliswaar smal, met slechts drie pijpen, maar zij hebben doordat zij volledig frontaal zijn geplaatst, een zeer duidelijke presentie. Wij zien hier werkelijk in visueel opzicht een </w:t>
      </w:r>
      <w:r>
        <w:rPr>
          <w:i/>
          <w:iCs/>
          <w:lang w:val="nl-NL"/>
        </w:rPr>
        <w:t>Umwertung aller Werte</w:t>
      </w:r>
      <w:r>
        <w:rPr>
          <w:lang w:val="nl-NL"/>
        </w:rPr>
        <w:t>.</w:t>
      </w:r>
    </w:p>
    <w:p>
      <w:pPr>
        <w:pStyle w:val="T2Kunst"/>
        <w:jc w:val="start"/>
        <w:rPr>
          <w:lang w:val="nl-NL"/>
        </w:rPr>
      </w:pPr>
      <w:r>
        <w:rPr>
          <w:lang w:val="nl-NL"/>
        </w:rPr>
        <w:t xml:space="preserve">Het gebruik van een aan de gotiek ontleende vormentaal maakt de verschillen nog groter. Interessant zijn in dit opzicht vooral de bovenlijsten van de binnenste tussenvelden. In Oirschot zijn deze van boven afgesloten door een rechte lijst, waarboven schuin geplaatste krullen zijn aangebracht als verbinding met de middentoren. Dat gaat in Schijndel heel anders. De bovenste velden worden afgesloten door een naar buiten oplopende gebogen lijst met toten. Daarboven is een met traceerwerk opengewerkte partij aangebracht die wordt afgesloten door een schuin naar binnen oplopende lijst met hogels, die de middentoren als het ware inpakt. </w:t>
      </w:r>
    </w:p>
    <w:p>
      <w:pPr>
        <w:pStyle w:val="T2Kunst"/>
        <w:jc w:val="start"/>
        <w:rPr>
          <w:lang w:val="nl-NL"/>
        </w:rPr>
      </w:pPr>
      <w:r>
        <w:rPr>
          <w:lang w:val="nl-NL"/>
        </w:rPr>
        <w:t>Het bovendeel van de middentoren heeft blinderingen in de vorm van spitsbogen waarboven kielbogige wimbergen. Op de toren een door pinakels geflankeerde verhoging met afgeschuinde hoeken en traceerwerk, die dient als podest voor een beeld van een engel met twee kleine engeltjes en een spreukband met de tekst 'Gloria in excelsis Deo'. Middentoren en binnenvelden worden tezamen als één partij gemarkeerd door twee pinakels van een forser model dan die op de middentoren. De buitenste tussenvelden zijn voorzien van getraceerde wimbergen die worden bekroond door kruisbloemen. De zijtorens hebben aan de pijpuiteinden spitsbogen met getraceerde wimbergen, waarboven achtkantige met traceerwerk opengewerkte verhogingen met een beeld van een engel erop.</w:t>
      </w:r>
    </w:p>
    <w:p>
      <w:pPr>
        <w:pStyle w:val="T2Kunst"/>
        <w:jc w:val="start"/>
        <w:rPr>
          <w:lang w:val="nl-NL"/>
        </w:rPr>
      </w:pPr>
      <w:r>
        <w:rPr>
          <w:lang w:val="nl-NL"/>
        </w:rPr>
        <w:t xml:space="preserve">De meeste blinderingen aan de pijpvoeten zijn gesloten panelen met traceerwerk. Alleen in de zijtorens ziet men transparant snijwerk. </w:t>
      </w:r>
    </w:p>
    <w:p>
      <w:pPr>
        <w:pStyle w:val="T2Kunst"/>
        <w:jc w:val="start"/>
        <w:rPr>
          <w:lang w:val="nl-NL"/>
        </w:rPr>
      </w:pPr>
      <w:r>
        <w:rPr>
          <w:lang w:val="nl-NL"/>
        </w:rPr>
        <w:t xml:space="preserve">Met wat voor neogotiek hebben wij hier te maken? Het is zeker geen orthodoxe neogotiek, waarbij de gotische vormen nauwgezet en in overeenstemming met hun constructieve functie worden gebruikt. Het gaat hier eerder om de vroege neogotiek, waarbij de vormen in hoofdzaak om hun decoratieve effect worden gehanteerd en bovendien nog door een neoclassicistische bril worden bekeken. Dit laatste komt tot uiting in de betrekkelijk vlakke behandeling van het gotische vormenrepertoire. </w:t>
      </w:r>
    </w:p>
    <w:p>
      <w:pPr>
        <w:pStyle w:val="T2Kunst"/>
        <w:jc w:val="start"/>
        <w:rPr>
          <w:lang w:val="nl-NL"/>
        </w:rPr>
      </w:pPr>
      <w:r>
        <w:rPr>
          <w:lang w:val="nl-NL"/>
        </w:rPr>
        <w:t xml:space="preserve">De vroege neogotici hadden een duidelijke voorkeur voor de late, flamboyante gotiek. Dat is ook in Schijndel goed te zien. Een veel voorkomend motief is de visblaas, soms in drievoud geplaatst in een rozet, waardoor een wentelende beweging wordt gesuggereerd. Zie het traceerwerk naast het bovendeel van de middentoren. Zeer origineel zijn de vormen bij de pijpvoeten in de benedenvelden naast de middentoren. Driepassen en vierpassen, zeer gebruikelijke gotische vormen, zijn ook aan te treffen, bijvoorbeeld onder in de middentoren. Een afwisselende reeks vierpassen en wentelende rozetten vindt men in de openingen in de onderkas. Boeiend zijn de gecompliceerde vormen van het opengewerkte snijwerk in de borstwering. </w:t>
      </w:r>
    </w:p>
    <w:p>
      <w:pPr>
        <w:pStyle w:val="T2Kunst"/>
        <w:jc w:val="start"/>
        <w:rPr/>
      </w:pPr>
      <w:r>
        <w:rPr>
          <w:lang w:val="nl-NL"/>
        </w:rPr>
        <w:t xml:space="preserve">Nog enige details vragen de aandacht. In de eerste plaats de fraai gesneden druipers onder de verschillende stijlen en dan vooral de geestige beeldengroepen onder de torens. Zij stellen musicerende engelen voor en herinneren enigszins aan de breed uitzwenkende beelden op de hoeken van het orgel in Sint Oedenrode (1839, deel 1819-1840, 371-373). Verder zijn onder tegen de stijlen beelden, overhuifd door baldakijnen, geplaatst: naast de middentoren David met harp en Caecila, hier voor de variatie met een gitaar, en verder musicerende engelen. Tegen de borstwering ziet men in het midden beelden van Gregorius en Ambrosius, de patronen van de kerkzang, en op de hoeken wederom musicerende engelen. De met facetten gedecoreerde frontpijpen dragen het hunne bij aan dit luisterrijke geheel, een prachtig voorbeeld van </w:t>
      </w:r>
      <w:r>
        <w:rPr>
          <w:i/>
          <w:iCs/>
          <w:lang w:val="nl-NL"/>
        </w:rPr>
        <w:t>nieuwe</w:t>
      </w:r>
      <w:r>
        <w:rPr>
          <w:lang w:val="nl-NL"/>
        </w:rPr>
        <w:t xml:space="preserve"> gotiek.</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Broekhuyzen</w:t>
      </w:r>
      <w:r>
        <w:rPr>
          <w:lang w:val="nl-NL"/>
        </w:rPr>
        <w:t>, S65.</w:t>
      </w:r>
    </w:p>
    <w:p>
      <w:pPr>
        <w:pStyle w:val="T3Lit"/>
        <w:jc w:val="start"/>
        <w:rPr/>
      </w:pPr>
      <w:r>
        <w:rPr>
          <w:i/>
          <w:iCs/>
          <w:lang w:val="nl-NL"/>
        </w:rPr>
        <w:t>Informatie Nederlandse Orgels</w:t>
      </w:r>
      <w:r>
        <w:rPr>
          <w:lang w:val="nl-NL"/>
        </w:rPr>
        <w:t>, 2-69.</w:t>
      </w:r>
    </w:p>
    <w:p>
      <w:pPr>
        <w:pStyle w:val="T3Lit"/>
        <w:jc w:val="start"/>
        <w:rPr/>
      </w:pPr>
      <w:r>
        <w:rPr>
          <w:lang w:val="nl-NL"/>
        </w:rPr>
        <w:t xml:space="preserve">Frans Jespers, </w:t>
      </w:r>
      <w:r>
        <w:rPr>
          <w:i/>
          <w:iCs/>
          <w:lang w:val="nl-NL"/>
        </w:rPr>
        <w:t>Repertorium van orgels en orgelmakers in Noord-Brabant tot omstreeks 1900</w:t>
      </w:r>
      <w:r>
        <w:rPr>
          <w:lang w:val="nl-NL"/>
        </w:rPr>
        <w:t>. 's-Hertogenbosch, 1983, 272.</w:t>
      </w:r>
    </w:p>
    <w:p>
      <w:pPr>
        <w:pStyle w:val="T3Lit"/>
        <w:jc w:val="start"/>
        <w:rPr/>
      </w:pPr>
      <w:r>
        <w:rPr>
          <w:lang w:val="nl-NL"/>
        </w:rPr>
        <w:t>W. van Kuilenburg, H</w:t>
      </w:r>
      <w:r>
        <w:rPr>
          <w:i/>
          <w:iCs/>
          <w:lang w:val="nl-NL"/>
        </w:rPr>
        <w:t>et werk van de orgelmakersfamilie Van Eijsdonck / Van Nistelrooij / Kuijte</w:t>
      </w:r>
      <w:r>
        <w:rPr>
          <w:lang w:val="nl-NL"/>
        </w:rPr>
        <w:t>. 's-Hertogenbosch, 1983, 115-116.</w:t>
      </w:r>
    </w:p>
    <w:p>
      <w:pPr>
        <w:pStyle w:val="T3Lit"/>
        <w:jc w:val="start"/>
        <w:rPr/>
      </w:pPr>
      <w:r>
        <w:rPr>
          <w:i/>
          <w:iCs/>
          <w:lang w:val="nl-NL"/>
        </w:rPr>
        <w:t>Het Orgel</w:t>
      </w:r>
      <w:r>
        <w:rPr>
          <w:lang w:val="nl-NL"/>
        </w:rPr>
        <w:t>, 64/3 (1968), 67-68; 86/4 (1990), 140, 203-205.</w:t>
      </w:r>
    </w:p>
    <w:p>
      <w:pPr>
        <w:pStyle w:val="T3Lit"/>
        <w:jc w:val="start"/>
        <w:rPr/>
      </w:pPr>
      <w:r>
        <w:rPr>
          <w:i/>
          <w:iCs/>
          <w:lang w:val="nl-NL"/>
        </w:rPr>
        <w:t>Smitsorgel St-Servatiuskerk in oude glorie hersteld</w:t>
      </w:r>
      <w:r>
        <w:rPr>
          <w:lang w:val="nl-NL"/>
        </w:rPr>
        <w:t>. Z.p., 1995.</w:t>
      </w:r>
    </w:p>
    <w:p>
      <w:pPr>
        <w:pStyle w:val="T3Lit"/>
        <w:jc w:val="start"/>
        <w:rPr/>
      </w:pPr>
      <w:r>
        <w:rPr>
          <w:lang w:val="nl-NL"/>
        </w:rPr>
        <w:t xml:space="preserve">Reinier Wakelkamp, ‘Het aanzien van de orgelklank’. In: Angeline Augustus en Johan Zoutendijk (red.), </w:t>
      </w:r>
      <w:r>
        <w:rPr>
          <w:i/>
          <w:iCs/>
          <w:lang w:val="nl-NL"/>
        </w:rPr>
        <w:t>De orgelbouwers Smits</w:t>
      </w:r>
      <w:r>
        <w:rPr>
          <w:lang w:val="nl-NL"/>
        </w:rPr>
        <w:t>. Z.p., [1994], 31.</w:t>
      </w:r>
    </w:p>
    <w:p>
      <w:pPr>
        <w:pStyle w:val="T3Lit"/>
        <w:jc w:val="start"/>
        <w:rPr>
          <w:lang w:val="nl-NL"/>
        </w:rPr>
      </w:pPr>
      <w:r>
        <w:rPr>
          <w:lang w:val="nl-NL"/>
        </w:rPr>
      </w:r>
    </w:p>
    <w:p>
      <w:pPr>
        <w:pStyle w:val="T3Lit"/>
        <w:jc w:val="start"/>
        <w:rPr>
          <w:lang w:val="nl-NL"/>
        </w:rPr>
      </w:pPr>
      <w:r>
        <w:rPr>
          <w:lang w:val="nl-NL"/>
        </w:rPr>
        <w:t>Monumentnummer 33568</w:t>
      </w:r>
    </w:p>
    <w:p>
      <w:pPr>
        <w:pStyle w:val="T3Lit"/>
        <w:jc w:val="start"/>
        <w:rPr>
          <w:lang w:val="nl-NL"/>
        </w:rPr>
      </w:pPr>
      <w:r>
        <w:rPr>
          <w:lang w:val="nl-NL"/>
        </w:rPr>
        <w:t>Orgelnummer 1343</w:t>
      </w:r>
    </w:p>
    <w:p>
      <w:pPr>
        <w:pStyle w:val="T1"/>
        <w:jc w:val="start"/>
        <w:rPr>
          <w:lang w:val="nl-NL"/>
        </w:rPr>
      </w:pPr>
      <w:r>
        <w:rPr>
          <w:lang w:val="nl-NL"/>
        </w:rPr>
      </w:r>
    </w:p>
    <w:p>
      <w:pPr>
        <w:pStyle w:val="Heading2"/>
        <w:rPr>
          <w:i w:val="false"/>
          <w:i w:val="false"/>
          <w:iCs w:val="false"/>
        </w:rPr>
      </w:pPr>
      <w:r>
        <w:rPr>
          <w:i w:val="false"/>
          <w:iCs w:val="false"/>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F.C. Smits I</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1852</w:t>
      </w:r>
    </w:p>
    <w:p>
      <w:pPr>
        <w:pStyle w:val="T1"/>
        <w:jc w:val="start"/>
        <w:rPr>
          <w:lang w:val="nl-NL"/>
        </w:rPr>
      </w:pPr>
      <w:r>
        <w:rPr>
          <w:lang w:val="nl-NL"/>
        </w:rPr>
      </w:r>
    </w:p>
    <w:p>
      <w:pPr>
        <w:pStyle w:val="T1"/>
        <w:jc w:val="start"/>
        <w:rPr/>
      </w:pPr>
      <w:r>
        <w:rPr/>
        <w:t>Dispositie volgens contract*</w:t>
      </w:r>
    </w:p>
    <w:tbl>
      <w:tblPr>
        <w:tblW w:w="8756" w:type="dxa"/>
        <w:jc w:val="start"/>
        <w:tblInd w:w="-108" w:type="dxa"/>
        <w:tblLayout w:type="fixed"/>
        <w:tblCellMar>
          <w:top w:w="0" w:type="dxa"/>
          <w:start w:w="108" w:type="dxa"/>
          <w:bottom w:w="0" w:type="dxa"/>
          <w:end w:w="108" w:type="dxa"/>
        </w:tblCellMar>
      </w:tblPr>
      <w:tblGrid>
        <w:gridCol w:w="1526"/>
        <w:gridCol w:w="738"/>
        <w:gridCol w:w="1672"/>
        <w:gridCol w:w="778"/>
        <w:gridCol w:w="1631"/>
        <w:gridCol w:w="835"/>
        <w:gridCol w:w="977"/>
        <w:gridCol w:w="599"/>
      </w:tblGrid>
      <w:tr>
        <w:trPr/>
        <w:tc>
          <w:tcPr>
            <w:tcW w:w="1526" w:type="dxa"/>
            <w:tcBorders/>
          </w:tcPr>
          <w:p>
            <w:pPr>
              <w:pStyle w:val="T4dispositie"/>
              <w:jc w:val="start"/>
              <w:rPr>
                <w:i/>
                <w:i/>
                <w:iCs/>
                <w:lang w:val="nl-NL"/>
              </w:rPr>
            </w:pPr>
            <w:r>
              <w:rPr>
                <w:i/>
                <w:iCs/>
                <w:lang w:val="nl-NL"/>
              </w:rPr>
              <w:t>GrootManuaal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 B/D</w:t>
            </w:r>
          </w:p>
        </w:tc>
        <w:tc>
          <w:tcPr>
            <w:tcW w:w="738"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4 st.</w:t>
            </w:r>
          </w:p>
          <w:p>
            <w:pPr>
              <w:pStyle w:val="T4dispositie"/>
              <w:jc w:val="start"/>
              <w:rPr>
                <w:lang w:val="nl-NL"/>
              </w:rPr>
            </w:pPr>
            <w:r>
              <w:rPr>
                <w:lang w:val="nl-NL"/>
              </w:rPr>
              <w:t>3 st.</w:t>
            </w:r>
          </w:p>
          <w:p>
            <w:pPr>
              <w:pStyle w:val="T4dispositie"/>
              <w:jc w:val="start"/>
              <w:rPr>
                <w:lang w:val="nl-NL"/>
              </w:rPr>
            </w:pPr>
            <w:r>
              <w:rPr>
                <w:lang w:val="nl-NL"/>
              </w:rPr>
              <w:t>8’</w:t>
            </w:r>
          </w:p>
        </w:tc>
        <w:tc>
          <w:tcPr>
            <w:tcW w:w="1672" w:type="dxa"/>
            <w:tcBorders/>
          </w:tcPr>
          <w:p>
            <w:pPr>
              <w:pStyle w:val="T4dispositie"/>
              <w:jc w:val="start"/>
              <w:rPr>
                <w:i/>
                <w:i/>
                <w:iCs/>
                <w:lang w:val="nl-NL"/>
              </w:rPr>
            </w:pPr>
            <w:r>
              <w:rPr>
                <w:i/>
                <w:iCs/>
                <w:lang w:val="nl-NL"/>
              </w:rPr>
              <w:t>Bovenmanuaal</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Portunaal D</w:t>
            </w:r>
          </w:p>
          <w:p>
            <w:pPr>
              <w:pStyle w:val="T4dispositie"/>
              <w:jc w:val="start"/>
              <w:rPr>
                <w:lang w:val="nl-NL"/>
              </w:rPr>
            </w:pPr>
            <w:r>
              <w:rPr>
                <w:lang w:val="nl-NL"/>
              </w:rPr>
              <w:t>Prestant</w:t>
            </w:r>
          </w:p>
          <w:p>
            <w:pPr>
              <w:pStyle w:val="T4dispositie"/>
              <w:jc w:val="start"/>
              <w:rPr>
                <w:lang w:val="nl-NL"/>
              </w:rPr>
            </w:pPr>
            <w:r>
              <w:rPr>
                <w:lang w:val="nl-NL"/>
              </w:rPr>
              <w:t>Gemshoorn</w:t>
            </w:r>
          </w:p>
          <w:p>
            <w:pPr>
              <w:pStyle w:val="T4dispositie"/>
              <w:jc w:val="start"/>
              <w:rPr>
                <w:lang w:val="nl-NL"/>
              </w:rPr>
            </w:pPr>
            <w:r>
              <w:rPr>
                <w:lang w:val="nl-NL"/>
              </w:rPr>
              <w:t>Blokfluit</w:t>
            </w:r>
          </w:p>
          <w:p>
            <w:pPr>
              <w:pStyle w:val="T4dispositie"/>
              <w:jc w:val="start"/>
              <w:rPr>
                <w:lang w:val="nl-NL"/>
              </w:rPr>
            </w:pPr>
            <w:r>
              <w:rPr>
                <w:lang w:val="nl-NL"/>
              </w:rPr>
              <w:t>Sesquialter</w:t>
            </w:r>
          </w:p>
          <w:p>
            <w:pPr>
              <w:pStyle w:val="T4dispositie"/>
              <w:jc w:val="start"/>
              <w:rPr>
                <w:lang w:val="nl-NL"/>
              </w:rPr>
            </w:pPr>
            <w:r>
              <w:rPr>
                <w:lang w:val="nl-NL"/>
              </w:rPr>
              <w:t>Basson B</w:t>
            </w:r>
          </w:p>
          <w:p>
            <w:pPr>
              <w:pStyle w:val="T4dispositie"/>
              <w:jc w:val="start"/>
              <w:rPr>
                <w:lang w:val="nl-NL"/>
              </w:rPr>
            </w:pPr>
            <w:r>
              <w:rPr>
                <w:lang w:val="nl-NL"/>
              </w:rPr>
              <w:t>Oboe D</w:t>
            </w:r>
          </w:p>
          <w:p>
            <w:pPr>
              <w:pStyle w:val="T4dispositie"/>
              <w:jc w:val="start"/>
              <w:rPr>
                <w:lang w:val="nl-NL"/>
              </w:rPr>
            </w:pPr>
            <w:r>
              <w:rPr>
                <w:lang w:val="nl-NL"/>
              </w:rPr>
              <w:t>Vox Humana</w:t>
            </w:r>
          </w:p>
        </w:tc>
        <w:tc>
          <w:tcPr>
            <w:tcW w:w="778"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tc>
        <w:tc>
          <w:tcPr>
            <w:tcW w:w="1631" w:type="dxa"/>
            <w:tcBorders/>
          </w:tcPr>
          <w:p>
            <w:pPr>
              <w:pStyle w:val="T4dispositie"/>
              <w:jc w:val="start"/>
              <w:rPr>
                <w:i/>
                <w:i/>
                <w:iCs/>
                <w:lang w:val="nl-NL"/>
              </w:rPr>
            </w:pPr>
            <w:r>
              <w:rPr>
                <w:i/>
                <w:iCs/>
                <w:lang w:val="nl-NL"/>
              </w:rPr>
              <w:t>Positief</w:t>
            </w:r>
          </w:p>
          <w:p>
            <w:pPr>
              <w:pStyle w:val="T4dispositie"/>
              <w:jc w:val="start"/>
              <w:rPr>
                <w:lang w:val="nl-NL"/>
              </w:rPr>
            </w:pPr>
            <w:r>
              <w:rPr>
                <w:lang w:val="nl-NL"/>
              </w:rPr>
              <w:t>Bourdon</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Flûte Travers D</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Flageolet</w:t>
            </w:r>
          </w:p>
          <w:p>
            <w:pPr>
              <w:pStyle w:val="T4dispositie"/>
              <w:jc w:val="start"/>
              <w:rPr>
                <w:lang w:val="nl-NL"/>
              </w:rPr>
            </w:pPr>
            <w:r>
              <w:rPr>
                <w:lang w:val="nl-NL"/>
              </w:rPr>
              <w:t>Trompet</w:t>
            </w:r>
          </w:p>
          <w:p>
            <w:pPr>
              <w:pStyle w:val="T4dispositie"/>
              <w:jc w:val="start"/>
              <w:rPr>
                <w:lang w:val="nl-NL"/>
              </w:rPr>
            </w:pPr>
            <w:r>
              <w:rPr>
                <w:lang w:val="nl-NL"/>
              </w:rPr>
              <w:t>Harmonica B/D</w:t>
            </w:r>
          </w:p>
        </w:tc>
        <w:tc>
          <w:tcPr>
            <w:tcW w:w="83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8'</w:t>
            </w:r>
          </w:p>
          <w:p>
            <w:pPr>
              <w:pStyle w:val="T4dispositie"/>
              <w:jc w:val="start"/>
              <w:rPr>
                <w:lang w:val="nl-NL"/>
              </w:rPr>
            </w:pPr>
            <w:r>
              <w:rPr>
                <w:lang w:val="nl-NL"/>
              </w:rPr>
              <w:t>8'</w:t>
            </w:r>
          </w:p>
        </w:tc>
        <w:tc>
          <w:tcPr>
            <w:tcW w:w="977" w:type="dxa"/>
            <w:tcBorders/>
          </w:tcPr>
          <w:p>
            <w:pPr>
              <w:pStyle w:val="T4dispositie"/>
              <w:jc w:val="start"/>
              <w:rPr>
                <w:i/>
                <w:i/>
                <w:iCs/>
                <w:lang w:val="nl-NL"/>
              </w:rPr>
            </w:pPr>
            <w:r>
              <w:rPr>
                <w:i/>
                <w:iCs/>
                <w:lang w:val="nl-NL"/>
              </w:rPr>
              <w:t>Pedaal</w:t>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Prestant</w:t>
            </w:r>
          </w:p>
          <w:p>
            <w:pPr>
              <w:pStyle w:val="T4dispositie"/>
              <w:jc w:val="start"/>
              <w:rPr>
                <w:lang w:val="nl-NL"/>
              </w:rPr>
            </w:pPr>
            <w:r>
              <w:rPr>
                <w:lang w:val="nl-NL"/>
              </w:rPr>
              <w:t>Bazuin</w:t>
            </w:r>
          </w:p>
          <w:p>
            <w:pPr>
              <w:pStyle w:val="T4dispositie"/>
              <w:jc w:val="start"/>
              <w:rPr>
                <w:lang w:val="nl-NL"/>
              </w:rPr>
            </w:pPr>
            <w:r>
              <w:rPr>
                <w:lang w:val="nl-NL"/>
              </w:rPr>
              <w:t>Fagot</w:t>
            </w:r>
          </w:p>
          <w:p>
            <w:pPr>
              <w:pStyle w:val="T4dispositie"/>
              <w:jc w:val="start"/>
              <w:rPr>
                <w:lang w:val="nl-NL"/>
              </w:rPr>
            </w:pPr>
            <w:r>
              <w:rPr>
                <w:lang w:val="nl-NL"/>
              </w:rPr>
              <w:t>Trompet</w:t>
            </w:r>
          </w:p>
          <w:p>
            <w:pPr>
              <w:pStyle w:val="T4dispositie"/>
              <w:jc w:val="start"/>
              <w:rPr>
                <w:lang w:val="nl-NL"/>
              </w:rPr>
            </w:pPr>
            <w:r>
              <w:rPr>
                <w:lang w:val="nl-NL"/>
              </w:rPr>
              <w:t>Clairon</w:t>
            </w:r>
          </w:p>
          <w:p>
            <w:pPr>
              <w:pStyle w:val="T4dispositie"/>
              <w:jc w:val="start"/>
              <w:rPr>
                <w:lang w:val="nl-NL"/>
              </w:rPr>
            </w:pPr>
            <w:r>
              <w:rPr>
                <w:lang w:val="nl-NL"/>
              </w:rPr>
              <w:t>Cincq</w:t>
            </w:r>
          </w:p>
        </w:tc>
        <w:tc>
          <w:tcPr>
            <w:tcW w:w="599"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6'</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4dispositie"/>
        <w:jc w:val="start"/>
        <w:rPr>
          <w:lang w:val="nl-NL"/>
        </w:rPr>
      </w:pPr>
      <w:r>
        <w:rPr>
          <w:lang w:val="nl-NL"/>
        </w:rPr>
        <w:t>koppelingen Groot Manuaal – Positief, Groot Manuaal – Bovenmanuaal, Pedaal – Groot Manuaal, Pedaal - Positief</w:t>
      </w:r>
    </w:p>
    <w:p>
      <w:pPr>
        <w:pStyle w:val="T4dispositie"/>
        <w:jc w:val="start"/>
        <w:rPr>
          <w:lang w:val="nl-NL"/>
        </w:rPr>
      </w:pPr>
      <w:r>
        <w:rPr>
          <w:lang w:val="nl-NL"/>
        </w:rPr>
        <w:t>tremulant Bovenmanuaal</w:t>
      </w:r>
    </w:p>
    <w:p>
      <w:pPr>
        <w:pStyle w:val="T4dispositie"/>
        <w:jc w:val="start"/>
        <w:rPr>
          <w:lang w:val="nl-NL"/>
        </w:rPr>
      </w:pPr>
      <w:r>
        <w:rPr>
          <w:lang w:val="nl-NL"/>
        </w:rPr>
        <w:t>vijf spaanbalgen</w:t>
      </w:r>
    </w:p>
    <w:p>
      <w:pPr>
        <w:pStyle w:val="T4dispositie"/>
        <w:jc w:val="start"/>
        <w:rPr>
          <w:lang w:val="nl-NL"/>
        </w:rPr>
      </w:pPr>
      <w:r>
        <w:rPr>
          <w:lang w:val="nl-NL"/>
        </w:rPr>
      </w:r>
    </w:p>
    <w:p>
      <w:pPr>
        <w:pStyle w:val="T4dispositie"/>
        <w:jc w:val="start"/>
        <w:rPr>
          <w:lang w:val="nl-NL"/>
        </w:rPr>
      </w:pPr>
      <w:r>
        <w:rPr>
          <w:lang w:val="nl-NL"/>
        </w:rPr>
        <w:t>* Tijdens de bouw voegde Smits aan het Groot Manuaal een Klairon 4’ toe; daarnaast wijzigde hij de Cornet 3 st in 2 st. en de Mixtuur 4 st. in 3 st. De Sesquialter van het Bovenmanuaal werd 2 st. Waarschijnlijk werd de Portunaal D uitgevoerd als overblazende Fiffaro D 4’</w:t>
      </w:r>
    </w:p>
    <w:p>
      <w:pPr>
        <w:pStyle w:val="T1"/>
        <w:jc w:val="start"/>
        <w:rPr>
          <w:lang w:val="nl-NL"/>
        </w:rPr>
      </w:pPr>
      <w:r>
        <w:rPr>
          <w:lang w:val="nl-NL"/>
        </w:rPr>
      </w:r>
    </w:p>
    <w:p>
      <w:pPr>
        <w:pStyle w:val="T1"/>
        <w:jc w:val="start"/>
        <w:rPr>
          <w:lang w:val="nl-NL"/>
        </w:rPr>
      </w:pPr>
      <w:r>
        <w:rPr>
          <w:lang w:val="nl-NL"/>
        </w:rPr>
        <w:t>F.C. Smits II 1902</w:t>
      </w:r>
    </w:p>
    <w:p>
      <w:pPr>
        <w:pStyle w:val="T1"/>
        <w:jc w:val="start"/>
        <w:rPr>
          <w:lang w:val="nl-NL"/>
        </w:rPr>
      </w:pPr>
      <w:r>
        <w:rPr>
          <w:lang w:val="nl-NL"/>
        </w:rPr>
        <w:t>.</w:t>
        <w:tab/>
        <w:t>restauratie</w:t>
      </w:r>
    </w:p>
    <w:p>
      <w:pPr>
        <w:pStyle w:val="T1"/>
        <w:jc w:val="start"/>
        <w:rPr/>
      </w:pPr>
      <w:r>
        <w:rPr>
          <w:lang w:val="nl-NL"/>
        </w:rPr>
        <w:t>.</w:t>
        <w:tab/>
        <w:t>waarschijnlijk bij die gelegenheid toonhoogte verhoogd tot a</w:t>
      </w:r>
      <w:r>
        <w:rPr>
          <w:vertAlign w:val="superscript"/>
          <w:lang w:val="nl-NL"/>
        </w:rPr>
        <w:t>1</w:t>
      </w:r>
      <w:r>
        <w:rPr>
          <w:lang w:val="nl-NL"/>
        </w:rPr>
        <w:t xml:space="preserve"> = 435 Hz</w:t>
      </w:r>
    </w:p>
    <w:p>
      <w:pPr>
        <w:pStyle w:val="T1"/>
        <w:jc w:val="start"/>
        <w:rPr>
          <w:lang w:val="nl-NL"/>
        </w:rPr>
      </w:pPr>
      <w:r>
        <w:rPr>
          <w:lang w:val="nl-NL"/>
        </w:rPr>
        <w:t>.</w:t>
        <w:tab/>
        <w:t>Groot Manuaal – Klairon 4’, + Euphone 16’</w:t>
      </w:r>
    </w:p>
    <w:p>
      <w:pPr>
        <w:pStyle w:val="T1"/>
        <w:jc w:val="start"/>
        <w:rPr>
          <w:lang w:val="nl-NL"/>
        </w:rPr>
      </w:pPr>
      <w:r>
        <w:rPr>
          <w:lang w:val="nl-NL"/>
        </w:rPr>
      </w:r>
    </w:p>
    <w:p>
      <w:pPr>
        <w:pStyle w:val="T1"/>
        <w:jc w:val="start"/>
        <w:rPr>
          <w:lang w:val="nl-NL"/>
        </w:rPr>
      </w:pPr>
      <w:r>
        <w:rPr>
          <w:lang w:val="nl-NL"/>
        </w:rPr>
        <w:t>Gebr. H.W.J. en F.C. (III) Smits 1916</w:t>
      </w:r>
    </w:p>
    <w:p>
      <w:pPr>
        <w:pStyle w:val="T1"/>
        <w:jc w:val="start"/>
        <w:rPr>
          <w:lang w:val="nl-NL"/>
        </w:rPr>
      </w:pPr>
      <w:r>
        <w:rPr>
          <w:lang w:val="nl-NL"/>
        </w:rPr>
        <w:t>.</w:t>
        <w:tab/>
        <w:t>spaanbalgen vervangen door magazijnbalg</w:t>
      </w:r>
    </w:p>
    <w:p>
      <w:pPr>
        <w:pStyle w:val="T1"/>
        <w:jc w:val="start"/>
        <w:rPr>
          <w:lang w:val="nl-NL"/>
        </w:rPr>
      </w:pPr>
      <w:r>
        <w:rPr>
          <w:lang w:val="nl-NL"/>
        </w:rPr>
      </w:r>
    </w:p>
    <w:p>
      <w:pPr>
        <w:pStyle w:val="T1"/>
        <w:jc w:val="start"/>
        <w:rPr>
          <w:lang w:val="nl-NL"/>
        </w:rPr>
      </w:pPr>
      <w:r>
        <w:rPr>
          <w:lang w:val="nl-NL"/>
        </w:rPr>
        <w:t>Gebr. H.W.J. en F.C. (III) Smits 1927</w:t>
      </w:r>
    </w:p>
    <w:p>
      <w:pPr>
        <w:pStyle w:val="T1"/>
        <w:jc w:val="start"/>
        <w:rPr>
          <w:lang w:val="nl-NL"/>
        </w:rPr>
      </w:pPr>
      <w:r>
        <w:rPr>
          <w:lang w:val="nl-NL"/>
        </w:rPr>
        <w:t>.</w:t>
        <w:tab/>
        <w:t>schoonmaak en herstel</w:t>
      </w:r>
    </w:p>
    <w:p>
      <w:pPr>
        <w:pStyle w:val="T1"/>
        <w:jc w:val="start"/>
        <w:rPr>
          <w:lang w:val="nl-NL"/>
        </w:rPr>
      </w:pPr>
      <w:r>
        <w:rPr>
          <w:lang w:val="nl-NL"/>
        </w:rPr>
        <w:t>.</w:t>
        <w:tab/>
        <w:t>nieuwe klavieren geplaatst, mechanieken Groot Manuaal herzien</w:t>
      </w:r>
    </w:p>
    <w:p>
      <w:pPr>
        <w:pStyle w:val="T1"/>
        <w:jc w:val="start"/>
        <w:rPr>
          <w:lang w:val="nl-NL"/>
        </w:rPr>
      </w:pPr>
      <w:r>
        <w:rPr>
          <w:lang w:val="nl-NL"/>
        </w:rPr>
      </w:r>
    </w:p>
    <w:p>
      <w:pPr>
        <w:pStyle w:val="T1"/>
        <w:jc w:val="start"/>
        <w:rPr>
          <w:lang w:val="nl-NL"/>
        </w:rPr>
      </w:pPr>
      <w:r>
        <w:rPr>
          <w:lang w:val="nl-NL"/>
        </w:rPr>
        <w:t>Gebr. Vermeulen 1959</w:t>
      </w:r>
    </w:p>
    <w:p>
      <w:pPr>
        <w:pStyle w:val="T1"/>
        <w:jc w:val="start"/>
        <w:rPr>
          <w:lang w:val="nl-NL"/>
        </w:rPr>
      </w:pPr>
      <w:r>
        <w:rPr>
          <w:lang w:val="nl-NL"/>
        </w:rPr>
        <w:t>.</w:t>
        <w:tab/>
        <w:t>restauratie</w:t>
      </w:r>
    </w:p>
    <w:p>
      <w:pPr>
        <w:pStyle w:val="T1"/>
        <w:jc w:val="start"/>
        <w:rPr>
          <w:lang w:val="nl-NL"/>
        </w:rPr>
      </w:pPr>
      <w:r>
        <w:rPr>
          <w:lang w:val="nl-NL"/>
        </w:rPr>
        <w:t>.</w:t>
        <w:tab/>
        <w:t>windvoorziening vernieuwd, magazijnbalg vervangen door vijf regulateurbalgen</w:t>
      </w:r>
    </w:p>
    <w:p>
      <w:pPr>
        <w:pStyle w:val="T1"/>
        <w:numPr>
          <w:ilvl w:val="0"/>
          <w:numId w:val="2"/>
        </w:numPr>
        <w:tabs>
          <w:tab w:val="clear" w:pos="720"/>
          <w:tab w:val="left" w:pos="0" w:leader="none"/>
        </w:tabs>
        <w:ind w:start="709" w:hanging="709"/>
        <w:jc w:val="start"/>
        <w:rPr>
          <w:lang w:val="nl-NL"/>
        </w:rPr>
      </w:pPr>
      <w:r>
        <w:rPr>
          <w:lang w:val="nl-NL"/>
        </w:rPr>
        <w:t>handklavieren, pedaalklavier en mechanieken vernieuwd; koppelingen uitgevoerd als treden</w:t>
      </w:r>
    </w:p>
    <w:p>
      <w:pPr>
        <w:pStyle w:val="T1"/>
        <w:jc w:val="start"/>
        <w:rPr>
          <w:lang w:val="nl-NL"/>
        </w:rPr>
      </w:pPr>
      <w:r>
        <w:rPr>
          <w:lang w:val="nl-NL"/>
        </w:rPr>
      </w:r>
    </w:p>
    <w:p>
      <w:pPr>
        <w:pStyle w:val="T1"/>
        <w:jc w:val="start"/>
        <w:rPr>
          <w:lang w:val="nl-NL"/>
        </w:rPr>
      </w:pPr>
      <w:r>
        <w:rPr>
          <w:lang w:val="nl-NL"/>
        </w:rPr>
        <w:t>Pels &amp; Van Leeuwen 1995</w:t>
      </w:r>
    </w:p>
    <w:p>
      <w:pPr>
        <w:pStyle w:val="T1"/>
        <w:jc w:val="start"/>
        <w:rPr>
          <w:lang w:val="nl-NL"/>
        </w:rPr>
      </w:pPr>
      <w:r>
        <w:rPr>
          <w:lang w:val="nl-NL"/>
        </w:rPr>
        <w:t>.</w:t>
        <w:tab/>
        <w:t>deelrestauratie</w:t>
      </w:r>
    </w:p>
    <w:p>
      <w:pPr>
        <w:pStyle w:val="T1"/>
        <w:jc w:val="start"/>
        <w:rPr>
          <w:lang w:val="nl-NL"/>
        </w:rPr>
      </w:pPr>
      <w:r>
        <w:rPr>
          <w:lang w:val="nl-NL"/>
        </w:rPr>
        <w:t>.</w:t>
        <w:tab/>
        <w:t>herstel van verzakte orgelkas en frontpijpen</w:t>
      </w:r>
    </w:p>
    <w:p>
      <w:pPr>
        <w:pStyle w:val="T1"/>
        <w:jc w:val="start"/>
        <w:rPr>
          <w:lang w:val="nl-NL"/>
        </w:rPr>
      </w:pPr>
      <w:r>
        <w:rPr>
          <w:lang w:val="nl-NL"/>
        </w:rPr>
        <w:t>.</w:t>
        <w:tab/>
        <w:t>windvoorziening, windladen en mechanieken hersteld; pulpeten vernieuwd</w:t>
      </w:r>
    </w:p>
    <w:p>
      <w:pPr>
        <w:pStyle w:val="T1"/>
        <w:jc w:val="start"/>
        <w:rPr>
          <w:lang w:val="nl-NL"/>
        </w:rPr>
      </w:pPr>
      <w:r>
        <w:rPr>
          <w:lang w:val="nl-NL"/>
        </w:rPr>
        <w:t>.</w:t>
        <w:tab/>
        <w:t>originele toonhoogte hersteld</w:t>
      </w:r>
    </w:p>
    <w:p>
      <w:pPr>
        <w:pStyle w:val="T1"/>
        <w:jc w:val="start"/>
        <w:rPr>
          <w:lang w:val="nl-NL"/>
        </w:rPr>
      </w:pPr>
      <w:r>
        <w:rPr>
          <w:lang w:val="nl-NL"/>
        </w:rPr>
      </w:r>
    </w:p>
    <w:p>
      <w:pPr>
        <w:pStyle w:val="Heading2"/>
        <w:rPr>
          <w:i w:val="false"/>
          <w:i w:val="false"/>
          <w:iCs w:val="false"/>
        </w:rPr>
      </w:pPr>
      <w:r>
        <w:rPr>
          <w:i w:val="false"/>
          <w:iCs w:val="false"/>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onderpositief, pedaal</w:t>
      </w:r>
    </w:p>
    <w:p>
      <w:pPr>
        <w:pStyle w:val="T1"/>
        <w:jc w:val="start"/>
        <w:rPr>
          <w:lang w:val="nl-NL"/>
        </w:rPr>
      </w:pPr>
      <w:r>
        <w:rPr>
          <w:lang w:val="nl-NL"/>
        </w:rPr>
      </w:r>
    </w:p>
    <w:p>
      <w:pPr>
        <w:pStyle w:val="T1"/>
        <w:jc w:val="start"/>
        <w:rPr/>
      </w:pPr>
      <w:r>
        <w:rPr/>
        <w:t>Dispositie</w:t>
      </w:r>
    </w:p>
    <w:tbl>
      <w:tblPr>
        <w:tblW w:w="8897" w:type="dxa"/>
        <w:jc w:val="start"/>
        <w:tblInd w:w="-108" w:type="dxa"/>
        <w:tblLayout w:type="fixed"/>
        <w:tblCellMar>
          <w:top w:w="0" w:type="dxa"/>
          <w:start w:w="108" w:type="dxa"/>
          <w:bottom w:w="0" w:type="dxa"/>
          <w:end w:w="108" w:type="dxa"/>
        </w:tblCellMar>
      </w:tblPr>
      <w:tblGrid>
        <w:gridCol w:w="1668"/>
        <w:gridCol w:w="708"/>
        <w:gridCol w:w="1656"/>
        <w:gridCol w:w="612"/>
        <w:gridCol w:w="1790"/>
        <w:gridCol w:w="478"/>
        <w:gridCol w:w="1498"/>
        <w:gridCol w:w="487"/>
      </w:tblGrid>
      <w:tr>
        <w:trPr/>
        <w:tc>
          <w:tcPr>
            <w:tcW w:w="1668"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Prestant</w:t>
            </w:r>
          </w:p>
          <w:p>
            <w:pPr>
              <w:pStyle w:val="T4dispositie"/>
              <w:jc w:val="start"/>
              <w:rPr>
                <w:lang w:val="nl-NL"/>
              </w:rPr>
            </w:pPr>
            <w:r>
              <w:rPr>
                <w:lang w:val="nl-NL"/>
              </w:rPr>
              <w:t>Roerluit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Euphone</w:t>
            </w:r>
          </w:p>
          <w:p>
            <w:pPr>
              <w:pStyle w:val="T4dispositie"/>
              <w:jc w:val="start"/>
              <w:rPr>
                <w:lang w:val="nl-NL"/>
              </w:rPr>
            </w:pPr>
            <w:r>
              <w:rPr>
                <w:lang w:val="nl-NL"/>
              </w:rPr>
              <w:t>Trompet B/D</w:t>
            </w:r>
          </w:p>
        </w:tc>
        <w:tc>
          <w:tcPr>
            <w:tcW w:w="70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2 st.</w:t>
            </w:r>
          </w:p>
          <w:p>
            <w:pPr>
              <w:pStyle w:val="T4dispositie"/>
              <w:jc w:val="start"/>
              <w:rPr>
                <w:lang w:val="nl-NL"/>
              </w:rPr>
            </w:pPr>
            <w:r>
              <w:rPr>
                <w:lang w:val="nl-NL"/>
              </w:rPr>
              <w:t>16'</w:t>
            </w:r>
          </w:p>
          <w:p>
            <w:pPr>
              <w:pStyle w:val="T4dispositie"/>
              <w:jc w:val="start"/>
              <w:rPr>
                <w:lang w:val="nl-NL"/>
              </w:rPr>
            </w:pPr>
            <w:r>
              <w:rPr>
                <w:lang w:val="nl-NL"/>
              </w:rPr>
              <w:t>8'</w:t>
            </w:r>
          </w:p>
        </w:tc>
        <w:tc>
          <w:tcPr>
            <w:tcW w:w="1656" w:type="dxa"/>
            <w:tcBorders/>
          </w:tcPr>
          <w:p>
            <w:pPr>
              <w:pStyle w:val="T4dispositie"/>
              <w:jc w:val="start"/>
              <w:rPr>
                <w:i/>
                <w:i/>
                <w:iCs/>
                <w:lang w:val="nl-NL"/>
              </w:rPr>
            </w:pPr>
            <w:r>
              <w:rPr>
                <w:i/>
                <w:iCs/>
                <w:lang w:val="nl-NL"/>
              </w:rPr>
              <w:t>Bovenwerk (III)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Prestant</w:t>
            </w:r>
          </w:p>
          <w:p>
            <w:pPr>
              <w:pStyle w:val="T4dispositie"/>
              <w:jc w:val="start"/>
              <w:rPr>
                <w:lang w:val="nl-NL"/>
              </w:rPr>
            </w:pPr>
            <w:r>
              <w:rPr>
                <w:lang w:val="nl-NL"/>
              </w:rPr>
              <w:t>Gemshoorn</w:t>
            </w:r>
          </w:p>
          <w:p>
            <w:pPr>
              <w:pStyle w:val="T4dispositie"/>
              <w:jc w:val="start"/>
              <w:rPr>
                <w:lang w:val="nl-NL"/>
              </w:rPr>
            </w:pPr>
            <w:r>
              <w:rPr>
                <w:lang w:val="nl-NL"/>
              </w:rPr>
              <w:t>Fiffaro D</w:t>
            </w:r>
          </w:p>
          <w:p>
            <w:pPr>
              <w:pStyle w:val="T4dispositie"/>
              <w:jc w:val="start"/>
              <w:rPr>
                <w:lang w:val="nl-NL"/>
              </w:rPr>
            </w:pPr>
            <w:r>
              <w:rPr>
                <w:lang w:val="nl-NL"/>
              </w:rPr>
              <w:t>Fluit</w:t>
            </w:r>
          </w:p>
          <w:p>
            <w:pPr>
              <w:pStyle w:val="T4dispositie"/>
              <w:jc w:val="start"/>
              <w:rPr>
                <w:lang w:val="nl-NL"/>
              </w:rPr>
            </w:pPr>
            <w:r>
              <w:rPr>
                <w:lang w:val="nl-NL"/>
              </w:rPr>
              <w:t>Sesquialter</w:t>
            </w:r>
          </w:p>
          <w:p>
            <w:pPr>
              <w:pStyle w:val="T4dispositie"/>
              <w:jc w:val="start"/>
              <w:rPr>
                <w:lang w:val="nl-NL"/>
              </w:rPr>
            </w:pPr>
            <w:r>
              <w:rPr>
                <w:lang w:val="nl-NL"/>
              </w:rPr>
              <w:t>Basson B</w:t>
            </w:r>
          </w:p>
          <w:p>
            <w:pPr>
              <w:pStyle w:val="T4dispositie"/>
              <w:jc w:val="start"/>
              <w:rPr>
                <w:lang w:val="nl-NL"/>
              </w:rPr>
            </w:pPr>
            <w:r>
              <w:rPr>
                <w:lang w:val="nl-NL"/>
              </w:rPr>
              <w:t>Hautbois D</w:t>
            </w:r>
          </w:p>
          <w:p>
            <w:pPr>
              <w:pStyle w:val="T4dispositie"/>
              <w:jc w:val="start"/>
              <w:rPr>
                <w:lang w:val="nl-NL"/>
              </w:rPr>
            </w:pPr>
            <w:r>
              <w:rPr>
                <w:lang w:val="nl-NL"/>
              </w:rPr>
              <w:t>Vox Humana</w:t>
            </w:r>
          </w:p>
        </w:tc>
        <w:tc>
          <w:tcPr>
            <w:tcW w:w="61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 st.</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tc>
        <w:tc>
          <w:tcPr>
            <w:tcW w:w="1790" w:type="dxa"/>
            <w:tcBorders/>
          </w:tcPr>
          <w:p>
            <w:pPr>
              <w:pStyle w:val="T4dispositie"/>
              <w:jc w:val="start"/>
              <w:rPr>
                <w:i/>
                <w:i/>
                <w:iCs/>
                <w:lang w:val="nl-NL"/>
              </w:rPr>
            </w:pPr>
            <w:r>
              <w:rPr>
                <w:i/>
                <w:iCs/>
                <w:lang w:val="nl-NL"/>
              </w:rPr>
              <w:t>Onderpositief (I)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Fluit travers D</w:t>
            </w:r>
          </w:p>
          <w:p>
            <w:pPr>
              <w:pStyle w:val="T4dispositie"/>
              <w:jc w:val="start"/>
              <w:rPr>
                <w:lang w:val="nl-NL"/>
              </w:rPr>
            </w:pPr>
            <w:r>
              <w:rPr>
                <w:lang w:val="nl-NL"/>
              </w:rPr>
              <w:t>Prestant</w:t>
            </w:r>
          </w:p>
          <w:p>
            <w:pPr>
              <w:pStyle w:val="T4dispositie"/>
              <w:jc w:val="start"/>
              <w:rPr>
                <w:lang w:val="nl-NL"/>
              </w:rPr>
            </w:pPr>
            <w:r>
              <w:rPr>
                <w:lang w:val="nl-NL"/>
              </w:rPr>
              <w:t>Octaaf</w:t>
            </w:r>
          </w:p>
          <w:p>
            <w:pPr>
              <w:pStyle w:val="T4dispositie"/>
              <w:jc w:val="start"/>
              <w:rPr>
                <w:lang w:val="nl-NL"/>
              </w:rPr>
            </w:pPr>
            <w:r>
              <w:rPr>
                <w:lang w:val="nl-NL"/>
              </w:rPr>
              <w:t>Flageolet</w:t>
            </w:r>
          </w:p>
          <w:p>
            <w:pPr>
              <w:pStyle w:val="T4dispositie"/>
              <w:jc w:val="start"/>
              <w:rPr>
                <w:lang w:val="nl-NL"/>
              </w:rPr>
            </w:pPr>
            <w:r>
              <w:rPr>
                <w:lang w:val="nl-NL"/>
              </w:rPr>
              <w:t>Trompet</w:t>
            </w:r>
          </w:p>
          <w:p>
            <w:pPr>
              <w:pStyle w:val="T4dispositie"/>
              <w:jc w:val="start"/>
              <w:rPr>
                <w:lang w:val="nl-NL"/>
              </w:rPr>
            </w:pPr>
            <w:r>
              <w:rPr>
                <w:lang w:val="nl-NL"/>
              </w:rPr>
              <w:t>Harmonica B/D</w:t>
            </w:r>
          </w:p>
        </w:tc>
        <w:tc>
          <w:tcPr>
            <w:tcW w:w="47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8'</w:t>
            </w:r>
          </w:p>
          <w:p>
            <w:pPr>
              <w:pStyle w:val="T4dispositie"/>
              <w:jc w:val="start"/>
              <w:rPr>
                <w:lang w:val="nl-NL"/>
              </w:rPr>
            </w:pPr>
            <w:r>
              <w:rPr>
                <w:lang w:val="nl-NL"/>
              </w:rPr>
              <w:t>8'</w:t>
            </w:r>
          </w:p>
        </w:tc>
        <w:tc>
          <w:tcPr>
            <w:tcW w:w="1498" w:type="dxa"/>
            <w:tcBorders/>
          </w:tcPr>
          <w:p>
            <w:pPr>
              <w:pStyle w:val="T4dispositie"/>
              <w:jc w:val="start"/>
              <w:rPr>
                <w:i/>
                <w:i/>
                <w:iCs/>
                <w:lang w:val="nl-NL"/>
              </w:rPr>
            </w:pPr>
            <w:r>
              <w:rPr>
                <w:i/>
                <w:iCs/>
                <w:lang w:val="nl-NL"/>
              </w:rPr>
              <w:t>Pedaal</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Prestant</w:t>
            </w:r>
          </w:p>
          <w:p>
            <w:pPr>
              <w:pStyle w:val="T4dispositie"/>
              <w:jc w:val="start"/>
              <w:rPr>
                <w:lang w:val="nl-NL"/>
              </w:rPr>
            </w:pPr>
            <w:r>
              <w:rPr>
                <w:lang w:val="nl-NL"/>
              </w:rPr>
              <w:t>Bazuin</w:t>
            </w:r>
          </w:p>
          <w:p>
            <w:pPr>
              <w:pStyle w:val="T4dispositie"/>
              <w:jc w:val="start"/>
              <w:rPr>
                <w:lang w:val="nl-NL"/>
              </w:rPr>
            </w:pPr>
            <w:r>
              <w:rPr>
                <w:lang w:val="nl-NL"/>
              </w:rPr>
              <w:t>Harmonica</w:t>
            </w:r>
          </w:p>
          <w:p>
            <w:pPr>
              <w:pStyle w:val="T4dispositie"/>
              <w:jc w:val="start"/>
              <w:rPr>
                <w:lang w:val="nl-NL"/>
              </w:rPr>
            </w:pPr>
            <w:r>
              <w:rPr>
                <w:lang w:val="nl-NL"/>
              </w:rPr>
              <w:t>Trompet</w:t>
            </w:r>
          </w:p>
          <w:p>
            <w:pPr>
              <w:pStyle w:val="T4dispositie"/>
              <w:jc w:val="start"/>
              <w:rPr>
                <w:lang w:val="nl-NL"/>
              </w:rPr>
            </w:pPr>
            <w:r>
              <w:rPr>
                <w:lang w:val="nl-NL"/>
              </w:rPr>
              <w:t>Klairon</w:t>
            </w:r>
          </w:p>
          <w:p>
            <w:pPr>
              <w:pStyle w:val="T4dispositie"/>
              <w:jc w:val="start"/>
              <w:rPr>
                <w:lang w:val="nl-NL"/>
              </w:rPr>
            </w:pPr>
            <w:r>
              <w:rPr>
                <w:lang w:val="nl-NL"/>
              </w:rPr>
              <w:t>Cinck</w:t>
            </w:r>
          </w:p>
        </w:tc>
        <w:tc>
          <w:tcPr>
            <w:tcW w:w="48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6'</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Ped-HW, Ped-OP, HW-BW, HW-OP</w:t>
      </w:r>
    </w:p>
    <w:p>
      <w:pPr>
        <w:pStyle w:val="T1"/>
        <w:jc w:val="start"/>
        <w:rPr>
          <w:lang w:val="nl-NL"/>
        </w:rPr>
      </w:pPr>
      <w:r>
        <w:rPr>
          <w:lang w:val="nl-NL"/>
        </w:rPr>
        <w:t>tremulant BW</w:t>
      </w:r>
    </w:p>
    <w:p>
      <w:pPr>
        <w:pStyle w:val="T1"/>
        <w:jc w:val="start"/>
        <w:rPr>
          <w:lang w:val="nl-NL"/>
        </w:rPr>
      </w:pPr>
      <w:r>
        <w:rPr>
          <w:lang w:val="nl-NL"/>
        </w:rPr>
      </w:r>
    </w:p>
    <w:p>
      <w:pPr>
        <w:pStyle w:val="T1"/>
        <w:jc w:val="start"/>
        <w:rPr>
          <w:lang w:val="nl-NL"/>
        </w:rPr>
      </w:pPr>
      <w:r>
        <w:rPr>
          <w:lang w:val="nl-NL"/>
        </w:rPr>
        <w:t>Samenstelling vulstemmen</w:t>
      </w:r>
    </w:p>
    <w:tbl>
      <w:tblPr>
        <w:tblW w:w="4786" w:type="dxa"/>
        <w:jc w:val="start"/>
        <w:tblInd w:w="-108" w:type="dxa"/>
        <w:tblLayout w:type="fixed"/>
        <w:tblCellMar>
          <w:top w:w="0" w:type="dxa"/>
          <w:start w:w="108" w:type="dxa"/>
          <w:bottom w:w="0" w:type="dxa"/>
          <w:end w:w="108" w:type="dxa"/>
        </w:tblCellMar>
      </w:tblPr>
      <w:tblGrid>
        <w:gridCol w:w="1668"/>
        <w:gridCol w:w="696"/>
        <w:gridCol w:w="721"/>
        <w:gridCol w:w="851"/>
        <w:gridCol w:w="850"/>
      </w:tblGrid>
      <w:tr>
        <w:trPr/>
        <w:tc>
          <w:tcPr>
            <w:tcW w:w="1668" w:type="dxa"/>
            <w:tcBorders/>
          </w:tcPr>
          <w:p>
            <w:pPr>
              <w:pStyle w:val="T1"/>
              <w:jc w:val="start"/>
              <w:rPr>
                <w:lang w:val="nl-NL"/>
              </w:rPr>
            </w:pPr>
            <w:r>
              <w:rPr>
                <w:lang w:val="nl-NL"/>
              </w:rPr>
              <w:t>Mixtuur HW</w:t>
            </w:r>
          </w:p>
        </w:tc>
        <w:tc>
          <w:tcPr>
            <w:tcW w:w="696"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1"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w:t>
            </w:r>
          </w:p>
        </w:tc>
        <w:tc>
          <w:tcPr>
            <w:tcW w:w="851" w:type="dxa"/>
            <w:tcBorders/>
          </w:tcPr>
          <w:p>
            <w:pPr>
              <w:pStyle w:val="T4dispositie"/>
              <w:jc w:val="start"/>
              <w:rPr>
                <w:lang w:val="nl-NL"/>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c>
          <w:tcPr>
            <w:tcW w:w="850" w:type="dxa"/>
            <w:tcBorders/>
          </w:tcPr>
          <w:p>
            <w:pPr>
              <w:pStyle w:val="T4dispositie"/>
              <w:jc w:val="start"/>
              <w:rPr>
                <w:lang w:val="nl-NL"/>
              </w:rPr>
            </w:pPr>
            <w:r>
              <w:rPr>
                <w:lang w:val="nl-NL"/>
              </w:rPr>
              <w:t>c</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tc>
      </w:tr>
    </w:tbl>
    <w:p>
      <w:pPr>
        <w:pStyle w:val="T1"/>
        <w:jc w:val="start"/>
        <w:rPr>
          <w:lang w:val="nl-NL"/>
        </w:rPr>
      </w:pPr>
      <w:r>
        <w:rPr>
          <w:lang w:val="nl-NL"/>
        </w:rPr>
      </w:r>
    </w:p>
    <w:p>
      <w:pPr>
        <w:pStyle w:val="T1"/>
        <w:jc w:val="start"/>
        <w:rPr/>
      </w:pPr>
      <w:r>
        <w:rPr>
          <w:lang w:val="nl-NL"/>
        </w:rPr>
        <w:t xml:space="preserve">Cornet HW   </w:t>
      </w:r>
      <w:r>
        <w:rPr>
          <w:sz w:val="20"/>
          <w:szCs w:val="20"/>
          <w:lang w:val="nl-NL"/>
        </w:rPr>
        <w:t>c</w:t>
      </w:r>
      <w:r>
        <w:rPr>
          <w:sz w:val="20"/>
          <w:szCs w:val="20"/>
          <w:vertAlign w:val="superscript"/>
          <w:lang w:val="nl-NL"/>
        </w:rPr>
        <w:t>1</w:t>
      </w:r>
      <w:r>
        <w:rPr>
          <w:sz w:val="20"/>
          <w:szCs w:val="20"/>
          <w:lang w:val="nl-NL"/>
        </w:rPr>
        <w:t xml:space="preserve">   4 - 2 2/3</w:t>
      </w:r>
    </w:p>
    <w:p>
      <w:pPr>
        <w:pStyle w:val="T1"/>
        <w:jc w:val="start"/>
        <w:rPr>
          <w:sz w:val="20"/>
          <w:szCs w:val="20"/>
          <w:lang w:val="nl-NL"/>
        </w:rPr>
      </w:pPr>
      <w:r>
        <w:rPr>
          <w:sz w:val="20"/>
          <w:szCs w:val="20"/>
          <w:lang w:val="nl-NL"/>
        </w:rPr>
      </w:r>
    </w:p>
    <w:tbl>
      <w:tblPr>
        <w:tblW w:w="2802" w:type="dxa"/>
        <w:jc w:val="start"/>
        <w:tblInd w:w="-108" w:type="dxa"/>
        <w:tblLayout w:type="fixed"/>
        <w:tblCellMar>
          <w:top w:w="0" w:type="dxa"/>
          <w:start w:w="108" w:type="dxa"/>
          <w:bottom w:w="0" w:type="dxa"/>
          <w:end w:w="108" w:type="dxa"/>
        </w:tblCellMar>
      </w:tblPr>
      <w:tblGrid>
        <w:gridCol w:w="1951"/>
        <w:gridCol w:w="851"/>
      </w:tblGrid>
      <w:tr>
        <w:trPr/>
        <w:tc>
          <w:tcPr>
            <w:tcW w:w="1951" w:type="dxa"/>
            <w:tcBorders/>
          </w:tcPr>
          <w:p>
            <w:pPr>
              <w:pStyle w:val="T1"/>
              <w:jc w:val="start"/>
              <w:rPr>
                <w:lang w:val="nl-NL"/>
              </w:rPr>
            </w:pPr>
            <w:r>
              <w:rPr>
                <w:lang w:val="nl-NL"/>
              </w:rPr>
              <w:t>Sesquialter BW</w:t>
            </w:r>
          </w:p>
        </w:tc>
        <w:tc>
          <w:tcPr>
            <w:tcW w:w="851"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415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C-d</w:t>
      </w:r>
      <w:r>
        <w:rPr>
          <w:vertAlign w:val="superscript"/>
          <w:lang w:val="nl-NL"/>
        </w:rPr>
        <w:t>1</w:t>
      </w:r>
      <w:r>
        <w:rPr>
          <w:lang w:val="nl-NL"/>
        </w:rPr>
        <w:t>, lade C-c</w:t>
      </w:r>
      <w:r>
        <w:rPr>
          <w:vertAlign w:val="superscript"/>
          <w:lang w:val="nl-NL"/>
        </w:rPr>
        <w:t>1</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regulateurs</w:t>
      </w:r>
    </w:p>
    <w:p>
      <w:pPr>
        <w:pStyle w:val="T1"/>
        <w:jc w:val="start"/>
        <w:rPr>
          <w:lang w:val="nl-NL"/>
        </w:rPr>
      </w:pPr>
      <w:r>
        <w:rPr>
          <w:lang w:val="nl-NL"/>
        </w:rPr>
        <w:t>Winddruk</w:t>
      </w:r>
    </w:p>
    <w:p>
      <w:pPr>
        <w:pStyle w:val="T1"/>
        <w:jc w:val="start"/>
        <w:rPr>
          <w:lang w:val="nl-NL"/>
        </w:rPr>
      </w:pPr>
      <w:r>
        <w:rPr>
          <w:lang w:val="nl-NL"/>
        </w:rPr>
        <w:t>79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val="false"/>
        </w:rPr>
      </w:pPr>
      <w:r>
        <w:rPr>
          <w:i w:val="false"/>
          <w:iCs w:val="false"/>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In het laatste ontwerp van Smits I staat in de dispositie van het pedaal: Fagot 16’ of Harmonica 16’. Dit zou erop kunnen wijzen dat Broekhuyzen de dispositie van Schijndel ontvangen heeft vóór de ingebruikneming en dat Smits uiteindelijk toch gekozen heeft voor een doorslaande Harmonica 16’ in plaats van een opslaande Fagot 16’.</w:t>
      </w:r>
    </w:p>
    <w:p>
      <w:pPr>
        <w:pStyle w:val="T1"/>
        <w:jc w:val="start"/>
        <w:rPr/>
      </w:pPr>
      <w:r>
        <w:rPr>
          <w:lang w:val="nl-NL"/>
        </w:rPr>
        <w:t>De chromatisch ingedeelde lade van het OP ligt onder in de kas. Het HW en het BW hebben elk één lade, waarop het pijpwerk vanuit het midden in hele tonen aflopend staat opgesteld. De lade van het Ped heeft een omvang van 25 tonen (C-c</w:t>
      </w:r>
      <w:r>
        <w:rPr>
          <w:vertAlign w:val="superscript"/>
          <w:lang w:val="nl-NL"/>
        </w:rPr>
        <w:t>1</w:t>
      </w:r>
      <w:r>
        <w:rPr>
          <w:lang w:val="nl-NL"/>
        </w:rPr>
        <w:t>), zowel het pedaalklavier als de pedaalkoppels hebben een omvang van 27 tonen (C-d</w:t>
      </w:r>
      <w:r>
        <w:rPr>
          <w:vertAlign w:val="superscript"/>
          <w:lang w:val="nl-NL"/>
        </w:rPr>
        <w:t>1</w:t>
      </w:r>
      <w:r>
        <w:rPr>
          <w:lang w:val="nl-NL"/>
        </w:rPr>
        <w:t>). De opstelling van het pijpwerk is als volgt: aan de C-kant C-fis in hele tonen aflopend naar de zijkant en g-c</w:t>
      </w:r>
      <w:r>
        <w:rPr>
          <w:vertAlign w:val="superscript"/>
          <w:lang w:val="nl-NL"/>
        </w:rPr>
        <w:t>1</w:t>
      </w:r>
      <w:r>
        <w:rPr>
          <w:lang w:val="nl-NL"/>
        </w:rPr>
        <w:t xml:space="preserve"> chromatisch; de overige tonen staan aan de Cis-kant.</w:t>
      </w:r>
    </w:p>
    <w:p>
      <w:pPr>
        <w:pStyle w:val="T1"/>
        <w:jc w:val="start"/>
        <w:rPr>
          <w:lang w:val="nl-NL"/>
        </w:rPr>
      </w:pPr>
      <w:r>
        <w:rPr>
          <w:lang w:val="nl-NL"/>
        </w:rPr>
        <w:t>De Bourdon 16’ van het OP bezit houten pijpen voor de tonen C-h, de rest is van metaal. Het groot octaaf van de Roerfluit 8' is eveneens van hout. De Flûte Travers D 8’ is overblazend en heeft een dubbele lengte. De Salicionaal 8’ is geheel van metaal, conisch. De Prestant 8’ van het HW staat van C-e in het front: in de middentoren en aangrenzende velden. De bas van zowel de Bourdon 16’ als de Holpijp 8’ is van hout. Van de Quint 3’ is de bas gedekt, het vervolg bestaat uit wijd cilindrisch open pijpwerk. De Mixtuur was, getuige de boringen op de lade oorspronkelijk als 4 st. gepland; het originele rooster heeft echter slechts boringen voor drie koren. Het groot octaaf van de Prestant 4’ BW staat in het front (middentoren). Ook de Holpijp 8’ van het BW is in de bas van hout. De Viola di Gamba 8’ is van tin. De overblazende Fiffaro D 4’ heeft een dubbele lengte en gaatjes in het corpus. Opmerkelijk is het mensuurverloop van de Fluit 2’. Dit cilindrische register met boogvormige opsneden begint in strijkersmensuur en verloopt via prestantmensuur uiteindelijk naar open fluitmensuur. De Sesquialter 2 st. heeft een wijde mensuur, het quintkoor is in de bas gedekt. De tinnen Prestant 16’ van het Ped staat van C-cis in het front, vlakke zijvelden en hoektorens. De Subbas is geheel van hout. De Octaaf 8’en de Prestant 4’ zijn van tin; C-G van dit laatst genoemde register staan in het front. De Quint 6’ is gedekt.</w:t>
      </w:r>
    </w:p>
    <w:p>
      <w:pPr>
        <w:pStyle w:val="T1"/>
        <w:jc w:val="start"/>
        <w:rPr>
          <w:lang w:val="nl-NL"/>
        </w:rPr>
      </w:pPr>
      <w:r>
        <w:rPr>
          <w:lang w:val="nl-NL"/>
        </w:rPr>
        <w:t>Van de tongwerken zijn de Harmonica B/D 8’ OP, de Euphone 16’ HW, de Vox Humana 8’ BW en de Harmonica 16’ Ped doorslaand. De overige tongwerken zijn opslaand en gemaakt in zuidelijke factuur. De Bazuin 16’ Ped heeft beleerde kelen en houten bekers.</w:t>
      </w:r>
    </w:p>
    <w:sectPr>
      <w:type w:val="nextPage"/>
      <w:pgSz w:w="11906" w:h="16838"/>
      <w:pgMar w:left="1800" w:right="1800" w:gutter="0" w:header="0" w:top="1440" w:footer="0" w:bottom="144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1"/>
    <w:family w:val="modern"/>
    <w:pitch w:val="default"/>
  </w:font>
  <w:font w:name="Arial">
    <w:charset w:val="01"/>
    <w:family w:val="swiss"/>
    <w:pitch w:val="variable"/>
  </w:font>
  <w:font w:name="Liberation Sans">
    <w:altName w:val="Arial"/>
    <w:charset w:val="01" w:characterSet="utf-8"/>
    <w:family w:val="swiss"/>
    <w:pitch w:val="variable"/>
  </w:font>
  <w:font w:name="Tahoma">
    <w:charset w:val="01"/>
    <w:family w:val="swiss"/>
    <w:pitch w:val="variable"/>
  </w:font>
  <w:font w:name="Times New Roman">
    <w:charset w:val="01"/>
    <w:family w:val="roman"/>
    <w:pitch w:val="variable"/>
  </w:font>
  <w:font w:name="Univer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709"/>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Courier New" w:hAnsi="Courier New;Courier New" w:eastAsia="Courier New;Courier New" w:cs="Courier New;Courier New"/>
      <w:color w:val="auto"/>
      <w:sz w:val="24"/>
      <w:szCs w:val="24"/>
      <w:lang w:val="nl-NL" w:eastAsia="zh-CN" w:bidi="hi-IN"/>
    </w:rPr>
  </w:style>
  <w:style w:type="paragraph" w:styleId="Heading1">
    <w:name w:val="Heading 1"/>
    <w:basedOn w:val="Normal"/>
    <w:next w:val="Normal"/>
    <w:qFormat/>
    <w:pPr>
      <w:keepNext w:val="true"/>
      <w:numPr>
        <w:ilvl w:val="0"/>
        <w:numId w:val="1"/>
      </w:numPr>
      <w:spacing w:before="240" w:after="60"/>
      <w:outlineLvl w:val="0"/>
    </w:pPr>
    <w:rPr>
      <w:rFonts w:ascii="Arial;Arial" w:hAnsi="Arial;Arial" w:eastAsia="Arial;Arial" w:cs="Arial;Arial"/>
      <w:b/>
      <w:bCs/>
      <w:kern w:val="2"/>
      <w:sz w:val="28"/>
      <w:szCs w:val="28"/>
    </w:rPr>
  </w:style>
  <w:style w:type="paragraph" w:styleId="Heading2">
    <w:name w:val="Heading 2"/>
    <w:basedOn w:val="Normal"/>
    <w:next w:val="Normal"/>
    <w:qFormat/>
    <w:pPr>
      <w:keepNext w:val="true"/>
      <w:numPr>
        <w:ilvl w:val="1"/>
        <w:numId w:val="1"/>
      </w:numPr>
      <w:spacing w:before="240" w:after="60"/>
      <w:outlineLvl w:val="1"/>
    </w:pPr>
    <w:rPr>
      <w:rFonts w:ascii="Arial;Arial" w:hAnsi="Arial;Arial" w:eastAsia="Arial;Arial" w:cs="Arial;Arial"/>
      <w:b/>
      <w:bCs/>
      <w:i/>
      <w:iCs/>
    </w:rPr>
  </w:style>
  <w:style w:type="character" w:styleId="DefaultParagraphFont">
    <w:name w:val="Default Paragraph Font"/>
    <w:qFormat/>
    <w:rPr/>
  </w:style>
  <w:style w:type="character" w:styleId="EndnoteCharacters">
    <w:name w:val="Endnote Characters"/>
    <w:basedOn w:val="DefaultParagraphFont"/>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Map">
    <w:name w:val="Document Map"/>
    <w:basedOn w:val="Normal"/>
    <w:qFormat/>
    <w:pPr>
      <w:shd w:fill="000080" w:val="clear"/>
    </w:pPr>
    <w:rPr>
      <w:rFonts w:ascii="Tahoma" w:hAnsi="Tahoma" w:eastAsia="Tahoma" w:cs="Tahoma"/>
    </w:rPr>
  </w:style>
  <w:style w:type="paragraph" w:styleId="T1">
    <w:name w:val="T1"/>
    <w:basedOn w:val="Normal"/>
    <w:qFormat/>
    <w:pPr>
      <w:suppressAutoHyphens w:val="true"/>
      <w:jc w:val="both"/>
    </w:pPr>
    <w:rPr>
      <w:rFonts w:ascii="Times New Roman;Times New Roman" w:hAnsi="Times New Roman;Times New Roman" w:eastAsia="Times New Roman;Times New Roman" w:cs="Times New Roman;Times New Roman"/>
      <w:spacing w:val="-3"/>
      <w:lang w:val="en-US"/>
    </w:rPr>
  </w:style>
  <w:style w:type="paragraph" w:styleId="T2Kunst">
    <w:name w:val="T2 Kunst"/>
    <w:basedOn w:val="Normal"/>
    <w:qFormat/>
    <w:pPr>
      <w:suppressAutoHyphens w:val="true"/>
      <w:jc w:val="both"/>
    </w:pPr>
    <w:rPr>
      <w:rFonts w:ascii="Univers;Arial" w:hAnsi="Univers;Arial" w:eastAsia="Univers;Arial" w:cs="Univers;Arial"/>
      <w:spacing w:val="-3"/>
      <w:lang w:val="en-US"/>
    </w:rPr>
  </w:style>
  <w:style w:type="paragraph" w:styleId="T3Lit">
    <w:name w:val="T3 Lit"/>
    <w:basedOn w:val="Normal"/>
    <w:qFormat/>
    <w:pPr>
      <w:suppressAutoHyphens w:val="true"/>
      <w:jc w:val="both"/>
    </w:pPr>
    <w:rPr>
      <w:rFonts w:ascii="Univers;Arial" w:hAnsi="Univers;Arial" w:eastAsia="Univers;Arial" w:cs="Univers;Arial"/>
      <w:spacing w:val="-3"/>
      <w:sz w:val="20"/>
      <w:szCs w:val="20"/>
      <w:lang w:val="en-US"/>
    </w:rPr>
  </w:style>
  <w:style w:type="paragraph" w:styleId="T4dispositie">
    <w:name w:val="T4 dispositie"/>
    <w:basedOn w:val="Normal"/>
    <w:qFormat/>
    <w:pPr>
      <w:suppressAutoHyphens w:val="true"/>
      <w:jc w:val="both"/>
    </w:pPr>
    <w:rPr>
      <w:rFonts w:ascii="Times New Roman;Times New Roman" w:hAnsi="Times New Roman;Times New Roman" w:eastAsia="Times New Roman;Times New Roman" w:cs="Times New Roman;Times New Roman"/>
      <w:spacing w:val="-3"/>
      <w:sz w:val="20"/>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2002-06-14T14:11:00Z</dcterms:created>
  <dc:creator>Roger</dc:creator>
  <dc:description/>
  <dc:language>en-US</dc:language>
  <cp:lastModifiedBy>WS1</cp:lastModifiedBy>
  <dcterms:modified xsi:type="dcterms:W3CDTF">2002-06-14T14:11:00Z</dcterms:modified>
  <cp:revision>2</cp:revision>
  <dc:subject/>
  <dc:title>Aarle-Rixtel / 1854</dc:title>
</cp:coreProperties>
</file>