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Hernen / 1856</w:t>
      </w:r>
    </w:p>
    <w:p>
      <w:pPr>
        <w:pStyle w:val="Heading2"/>
        <w:rPr>
          <w:i w:val="false"/>
          <w:i w:val="false"/>
          <w:iCs/>
        </w:rPr>
      </w:pPr>
      <w:r>
        <w:rPr>
          <w:i w:val="false"/>
          <w:iCs/>
        </w:rPr>
        <w:t>R.K. St-Judocuskerk</w:t>
      </w:r>
    </w:p>
    <w:p>
      <w:pPr>
        <w:pStyle w:val="T1"/>
        <w:jc w:val="start"/>
        <w:rPr>
          <w:i/>
          <w:i/>
          <w:iCs/>
          <w:lang w:val="nl-NL"/>
        </w:rPr>
      </w:pPr>
      <w:r>
        <w:rPr>
          <w:i/>
          <w:iCs/>
          <w:lang w:val="nl-NL"/>
        </w:rPr>
      </w:r>
    </w:p>
    <w:p>
      <w:pPr>
        <w:pStyle w:val="T1"/>
        <w:jc w:val="start"/>
        <w:rPr>
          <w:i/>
          <w:i/>
          <w:iCs/>
          <w:lang w:val="nl-NL"/>
        </w:rPr>
      </w:pPr>
      <w:r>
        <w:rPr>
          <w:i/>
          <w:iCs/>
          <w:lang w:val="nl-NL"/>
        </w:rPr>
        <w:t>Driebeukige neoromaanse kruisbasiliek met westtoren, gebouwd in 1891-1892 naar ontwerp van P.Th. Stornebrink. Inwendig onder andere koepelgewelven. Inrichting uit de bouwtijd, ontworpen door de architect.</w:t>
      </w:r>
    </w:p>
    <w:p>
      <w:pPr>
        <w:pStyle w:val="T1"/>
        <w:jc w:val="start"/>
        <w:rPr>
          <w:i/>
          <w:i/>
          <w:iCs/>
          <w:lang w:val="nl-NL"/>
        </w:rPr>
      </w:pPr>
      <w:r>
        <w:rPr>
          <w:i/>
          <w:iCs/>
          <w:lang w:val="nl-NL"/>
        </w:rPr>
      </w:r>
    </w:p>
    <w:p>
      <w:pPr>
        <w:pStyle w:val="T1"/>
        <w:jc w:val="start"/>
        <w:rPr>
          <w:lang w:val="nl-NL"/>
        </w:rPr>
      </w:pPr>
      <w:r>
        <w:rPr>
          <w:lang w:val="nl-NL"/>
        </w:rPr>
        <w:t>Kas: 1856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Dit orgel vertoont in zijn uiterlijk grote overeenkomsten met dat in de Grote Kerk te Hilversum uit 1854, dat ook door Wilhelm Rütter is vervaardigd. Ook hier dus drie ronde torens en gedeelde tussenvelden. Het orgel in Hernen maakt echter een bredere indruk. Ook is het minder sierlijk doordat de velden nu vlak zijn en doordat het labiumverloop strakker is geworden. In Hilversum ziet men in de benedenvelden een gebogen naar beneden aflopende labiumlijn en in de bovenvelden een gebogen V-vorm. In Hernen hebben de benedenlabia een recht verloop, terwijl de gebogen V-vorm in de bovenvelden zeer sterk is afgezwakt. Het gehele front bestaat overigens uit houten namaakpijpen.</w:t>
      </w:r>
    </w:p>
    <w:p>
      <w:pPr>
        <w:pStyle w:val="T2Kunst"/>
        <w:jc w:val="start"/>
        <w:rPr/>
      </w:pPr>
      <w:r>
        <w:rPr/>
        <w:t>Evenals in Hilversum zijn hier in de torenkappen tandlijsten aangebracht. De consoles onder de torens hebben vrijwel hetzelfde model als in Hilversum: vrij vlezig bladwerk en een druiventros als druiper. Blinderingen aan de pijpvoeten ontbreken. De bovenblinderingen in de middentoren bestaan uit twee gekoppelde ranken die zich aan beide zijden vertakken in twee krulranken met bloemrozet. In de zijtorens bestaat het basiselement uit twee gekoppelde C-voluten in het midden, die zijn voorzien van bladloof en naar de buitenzijde uitlopen in bladwerk dat zich vertakt. Op dit bladwerk balanceert een gestileerde rank met bloemrozet. Boven de tussenvelden zijn hoorns van overvloed aangebracht, zoals oorspronkelijk ook bij het thans te Hilversum aanwezige orgel. Aan de pijpuiteinden in de bovenvelden ziet men aan de kant van de zijtorens een C-voluut met krullen en enig bladwerk, waaruit zich een aantal in elkaar verstrengelde voluutranken, C- en S-vormig, ontwikkelt. De blinderingen bij de benedenvelden hebben in hoofdzaak dezelfde vormen. Vleugelstukken zijn niet aanwezig en sporen ervan zijn thans ook niet zichtbaar. Het is echter niet uit te sluiten dat de zijstijlen niet origineel zijn. Of het orgel ooit torenbekroningen heeft gehad en, zo ja, hoe die er dan uitgezien hebben, is niet bekend.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lang w:val="nl-NL"/>
        </w:rPr>
      </w:pPr>
      <w:r>
        <w:rPr>
          <w:i/>
          <w:lang w:val="nl-NL"/>
        </w:rPr>
        <w:t>Fotokaart De Mixtuur</w:t>
      </w:r>
    </w:p>
    <w:p>
      <w:pPr>
        <w:pStyle w:val="T3Lit"/>
        <w:jc w:val="start"/>
        <w:rPr/>
      </w:pPr>
      <w:r>
        <w:rPr>
          <w:i/>
          <w:lang w:val="nl-NL"/>
        </w:rPr>
        <w:t>Verschueren Orgels</w:t>
      </w:r>
      <w:r>
        <w:rPr>
          <w:lang w:val="nl-NL"/>
        </w:rPr>
        <w:t>. Heythuysen, 1959, 6.</w:t>
      </w:r>
    </w:p>
    <w:p>
      <w:pPr>
        <w:pStyle w:val="T3Lit"/>
        <w:jc w:val="start"/>
        <w:rPr>
          <w:lang w:val="nl-NL"/>
        </w:rPr>
      </w:pPr>
      <w:r>
        <w:rPr>
          <w:lang w:val="nl-NL"/>
        </w:rPr>
      </w:r>
    </w:p>
    <w:p>
      <w:pPr>
        <w:pStyle w:val="T3Lit"/>
        <w:jc w:val="start"/>
        <w:rPr>
          <w:lang w:val="nl-NL"/>
        </w:rPr>
      </w:pPr>
      <w:r>
        <w:rPr>
          <w:lang w:val="nl-NL"/>
        </w:rPr>
        <w:t>Monumentnummer 9312</w:t>
      </w:r>
    </w:p>
    <w:p>
      <w:pPr>
        <w:pStyle w:val="T3Lit"/>
        <w:jc w:val="start"/>
        <w:rPr>
          <w:lang w:val="nl-NL"/>
        </w:rPr>
      </w:pPr>
      <w:r>
        <w:rPr>
          <w:lang w:val="nl-NL"/>
        </w:rPr>
        <w:t>Orgelnummer 662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W. Rütter</w:t>
      </w:r>
    </w:p>
    <w:p>
      <w:pPr>
        <w:pStyle w:val="T1"/>
        <w:jc w:val="start"/>
        <w:rPr>
          <w:lang w:val="nl-NL"/>
        </w:rPr>
      </w:pPr>
      <w:r>
        <w:rPr>
          <w:lang w:val="nl-NL"/>
        </w:rPr>
        <w:t>2. L. Verschueren C.V.</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1. 1856</w:t>
      </w:r>
    </w:p>
    <w:p>
      <w:pPr>
        <w:pStyle w:val="T1"/>
        <w:jc w:val="start"/>
        <w:rPr>
          <w:lang w:val="nl-NL"/>
        </w:rPr>
      </w:pPr>
      <w:r>
        <w:rPr>
          <w:lang w:val="nl-NL"/>
        </w:rPr>
        <w:t>2. 1956</w:t>
      </w:r>
    </w:p>
    <w:p>
      <w:pPr>
        <w:pStyle w:val="T1"/>
        <w:jc w:val="start"/>
        <w:rPr>
          <w:lang w:val="nl-NL"/>
        </w:rPr>
      </w:pPr>
      <w:r>
        <w:rPr>
          <w:lang w:val="nl-NL"/>
        </w:rPr>
      </w:r>
    </w:p>
    <w:p>
      <w:pPr>
        <w:pStyle w:val="T1"/>
        <w:jc w:val="start"/>
        <w:rPr/>
      </w:pPr>
      <w:r>
        <w:rPr/>
        <w:t>Dispositie vóór 1956 volgens Verschueren 1959, waarbij de registernamen zijn vertaald</w:t>
      </w:r>
    </w:p>
    <w:tbl>
      <w:tblPr>
        <w:tblW w:w="3936" w:type="dxa"/>
        <w:jc w:val="start"/>
        <w:tblInd w:w="-108" w:type="dxa"/>
        <w:tblLayout w:type="fixed"/>
        <w:tblCellMar>
          <w:top w:w="0" w:type="dxa"/>
          <w:start w:w="108" w:type="dxa"/>
          <w:bottom w:w="0" w:type="dxa"/>
          <w:end w:w="108" w:type="dxa"/>
        </w:tblCellMar>
      </w:tblPr>
      <w:tblGrid>
        <w:gridCol w:w="1420"/>
        <w:gridCol w:w="673"/>
        <w:gridCol w:w="1276"/>
        <w:gridCol w:w="567"/>
      </w:tblGrid>
      <w:tr>
        <w:trPr/>
        <w:tc>
          <w:tcPr>
            <w:tcW w:w="1420" w:type="dxa"/>
            <w:tcBorders/>
          </w:tcPr>
          <w:p>
            <w:pPr>
              <w:pStyle w:val="T4dispositie"/>
              <w:jc w:val="start"/>
              <w:rPr>
                <w:i/>
                <w:i/>
                <w:iCs/>
                <w:lang w:val="nl-NL"/>
              </w:rPr>
            </w:pPr>
            <w:r>
              <w:rPr>
                <w:i/>
                <w:iCs/>
                <w:lang w:val="nl-NL"/>
              </w:rPr>
              <w:t>Groot orgel</w:t>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7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276" w:type="dxa"/>
            <w:tcBorders/>
          </w:tcPr>
          <w:p>
            <w:pPr>
              <w:pStyle w:val="T4dispositie"/>
              <w:jc w:val="start"/>
              <w:rPr>
                <w:i/>
                <w:i/>
                <w:iCs/>
                <w:lang w:val="nl-NL"/>
              </w:rPr>
            </w:pPr>
            <w:r>
              <w:rPr>
                <w:i/>
                <w:iCs/>
                <w:lang w:val="nl-NL"/>
              </w:rPr>
              <w:t>Positief</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Fluit</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manuaalkoppel, pedaalkoppel</w:t>
      </w:r>
    </w:p>
    <w:p>
      <w:pPr>
        <w:pStyle w:val="T4dispositie"/>
        <w:jc w:val="start"/>
        <w:rPr>
          <w:lang w:val="nl-NL"/>
        </w:rPr>
      </w:pPr>
      <w:r>
        <w:rPr>
          <w:lang w:val="nl-NL"/>
        </w:rPr>
        <w:t>aangehangen pedaal, C-f</w:t>
      </w:r>
    </w:p>
    <w:p>
      <w:pPr>
        <w:pStyle w:val="T1"/>
        <w:jc w:val="start"/>
        <w:rPr>
          <w:lang w:val="nl-NL"/>
        </w:rPr>
      </w:pPr>
      <w:r>
        <w:rPr>
          <w:lang w:val="nl-NL"/>
        </w:rPr>
      </w:r>
    </w:p>
    <w:p>
      <w:pPr>
        <w:pStyle w:val="T1"/>
        <w:jc w:val="start"/>
        <w:rPr>
          <w:lang w:val="nl-NL"/>
        </w:rPr>
      </w:pPr>
      <w:r>
        <w:rPr>
          <w:lang w:val="nl-NL"/>
        </w:rPr>
        <w:t>L. Verschueren C.V. 1956</w:t>
      </w:r>
    </w:p>
    <w:p>
      <w:pPr>
        <w:pStyle w:val="T1"/>
        <w:jc w:val="start"/>
        <w:rPr>
          <w:lang w:val="nl-NL"/>
        </w:rPr>
      </w:pPr>
      <w:r>
        <w:rPr>
          <w:lang w:val="nl-NL"/>
        </w:rPr>
        <w:t>.</w:t>
        <w:tab/>
        <w:t>orgel gerestaureerd en uitgebreid met vrij pedaal</w:t>
      </w:r>
    </w:p>
    <w:p>
      <w:pPr>
        <w:pStyle w:val="T1"/>
        <w:jc w:val="start"/>
        <w:rPr>
          <w:lang w:val="nl-NL"/>
        </w:rPr>
      </w:pPr>
      <w:r>
        <w:rPr>
          <w:lang w:val="nl-NL"/>
        </w:rPr>
        <w:t>.</w:t>
        <w:tab/>
        <w:t>klaviatuur vernieuwd</w:t>
      </w:r>
    </w:p>
    <w:p>
      <w:pPr>
        <w:pStyle w:val="T1"/>
        <w:jc w:val="start"/>
        <w:rPr>
          <w:lang w:val="nl-NL"/>
        </w:rPr>
      </w:pPr>
      <w:r>
        <w:rPr>
          <w:lang w:val="nl-NL"/>
        </w:rPr>
        <w:t>.</w:t>
        <w:tab/>
        <w:t>dispositiewijzigingen:</w:t>
      </w:r>
    </w:p>
    <w:p>
      <w:pPr>
        <w:pStyle w:val="T1"/>
        <w:jc w:val="start"/>
        <w:rPr>
          <w:lang w:val="nl-NL"/>
        </w:rPr>
      </w:pPr>
      <w:r>
        <w:rPr>
          <w:lang w:val="nl-NL"/>
        </w:rPr>
        <w:tab/>
        <w:t>HW - Bourdon B/D 16’, + Kwint B 2 2/3’, + Sesquialter D 2 st.</w:t>
      </w:r>
    </w:p>
    <w:p>
      <w:pPr>
        <w:pStyle w:val="T1"/>
        <w:jc w:val="start"/>
        <w:rPr>
          <w:lang w:val="nl-NL"/>
        </w:rPr>
      </w:pPr>
      <w:r>
        <w:rPr>
          <w:lang w:val="nl-NL"/>
        </w:rPr>
        <w:tab/>
        <w:t>Pos - Salicionaal 8’, - Fluit 4’, + Blokfluit 2’, + Scherp 3-4 st., + Kromhoorn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771" w:type="dxa"/>
        <w:jc w:val="start"/>
        <w:tblInd w:w="-108" w:type="dxa"/>
        <w:tblLayout w:type="fixed"/>
        <w:tblCellMar>
          <w:top w:w="0" w:type="dxa"/>
          <w:start w:w="108" w:type="dxa"/>
          <w:bottom w:w="0" w:type="dxa"/>
          <w:end w:w="108" w:type="dxa"/>
        </w:tblCellMar>
      </w:tblPr>
      <w:tblGrid>
        <w:gridCol w:w="1668"/>
        <w:gridCol w:w="775"/>
        <w:gridCol w:w="1776"/>
        <w:gridCol w:w="851"/>
        <w:gridCol w:w="1161"/>
        <w:gridCol w:w="540"/>
      </w:tblGrid>
      <w:tr>
        <w:trPr/>
        <w:tc>
          <w:tcPr>
            <w:tcW w:w="1668"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Principal</w:t>
            </w:r>
          </w:p>
          <w:p>
            <w:pPr>
              <w:pStyle w:val="T4dispositie"/>
              <w:jc w:val="start"/>
              <w:rPr>
                <w:lang w:val="nl-NL"/>
              </w:rPr>
            </w:pPr>
            <w:r>
              <w:rPr>
                <w:lang w:val="nl-NL"/>
              </w:rPr>
              <w:t>Hohlpfeife</w:t>
            </w:r>
          </w:p>
          <w:p>
            <w:pPr>
              <w:pStyle w:val="T4dispositie"/>
              <w:jc w:val="start"/>
              <w:rPr>
                <w:lang w:val="nl-NL"/>
              </w:rPr>
            </w:pPr>
            <w:r>
              <w:rPr>
                <w:lang w:val="nl-NL"/>
              </w:rPr>
              <w:t>Viola da Gamba</w:t>
            </w:r>
          </w:p>
          <w:p>
            <w:pPr>
              <w:pStyle w:val="T4dispositie"/>
              <w:jc w:val="start"/>
              <w:rPr>
                <w:lang w:val="nl-NL"/>
              </w:rPr>
            </w:pPr>
            <w:r>
              <w:rPr>
                <w:lang w:val="nl-NL"/>
              </w:rPr>
              <w:t>Octav</w:t>
            </w:r>
          </w:p>
          <w:p>
            <w:pPr>
              <w:pStyle w:val="T4dispositie"/>
              <w:jc w:val="start"/>
              <w:rPr>
                <w:lang w:val="nl-NL"/>
              </w:rPr>
            </w:pPr>
            <w:r>
              <w:rPr>
                <w:lang w:val="nl-NL"/>
              </w:rPr>
              <w:t>Rohrflöte</w:t>
            </w:r>
          </w:p>
          <w:p>
            <w:pPr>
              <w:pStyle w:val="T4dispositie"/>
              <w:jc w:val="start"/>
              <w:rPr>
                <w:lang w:val="nl-NL"/>
              </w:rPr>
            </w:pPr>
            <w:r>
              <w:rPr>
                <w:lang w:val="nl-NL"/>
              </w:rPr>
              <w:t>Kwint B</w:t>
            </w:r>
          </w:p>
          <w:p>
            <w:pPr>
              <w:pStyle w:val="T4dispositie"/>
              <w:jc w:val="start"/>
              <w:rPr>
                <w:lang w:val="nl-NL"/>
              </w:rPr>
            </w:pPr>
            <w:r>
              <w:rPr>
                <w:lang w:val="nl-NL"/>
              </w:rPr>
              <w:t>Sesquialter D</w:t>
            </w:r>
          </w:p>
          <w:p>
            <w:pPr>
              <w:pStyle w:val="T4dispositie"/>
              <w:jc w:val="start"/>
              <w:rPr>
                <w:lang w:val="nl-NL"/>
              </w:rPr>
            </w:pPr>
            <w:r>
              <w:rPr>
                <w:lang w:val="nl-NL"/>
              </w:rPr>
              <w:t>Octav</w:t>
            </w:r>
          </w:p>
          <w:p>
            <w:pPr>
              <w:pStyle w:val="T4dispositie"/>
              <w:jc w:val="start"/>
              <w:rPr>
                <w:lang w:val="nl-NL"/>
              </w:rPr>
            </w:pPr>
            <w:r>
              <w:rPr>
                <w:lang w:val="nl-NL"/>
              </w:rPr>
              <w:t>Mixtur</w:t>
            </w:r>
          </w:p>
          <w:p>
            <w:pPr>
              <w:pStyle w:val="T4dispositie"/>
              <w:jc w:val="start"/>
              <w:rPr>
                <w:lang w:val="nl-NL"/>
              </w:rPr>
            </w:pPr>
            <w:r>
              <w:rPr>
                <w:lang w:val="nl-NL"/>
              </w:rPr>
              <w:t>Cornett D</w:t>
            </w:r>
          </w:p>
          <w:p>
            <w:pPr>
              <w:pStyle w:val="T4dispositie"/>
              <w:jc w:val="start"/>
              <w:rPr>
                <w:lang w:val="nl-NL"/>
              </w:rPr>
            </w:pPr>
            <w:r>
              <w:rPr>
                <w:lang w:val="nl-NL"/>
              </w:rPr>
              <w:t>Trompete B/D</w:t>
            </w:r>
          </w:p>
        </w:tc>
        <w:tc>
          <w:tcPr>
            <w:tcW w:w="7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st.</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776" w:type="dxa"/>
            <w:tcBorders/>
          </w:tcPr>
          <w:p>
            <w:pPr>
              <w:pStyle w:val="T4dispositie"/>
              <w:jc w:val="start"/>
              <w:rPr>
                <w:i/>
                <w:i/>
                <w:iCs/>
                <w:lang w:val="nl-NL"/>
              </w:rPr>
            </w:pPr>
            <w:r>
              <w:rPr>
                <w:i/>
                <w:iCs/>
                <w:lang w:val="nl-NL"/>
              </w:rPr>
              <w:t>Onderpositief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Flauto traverso*</w:t>
            </w:r>
          </w:p>
          <w:p>
            <w:pPr>
              <w:pStyle w:val="T4dispositie"/>
              <w:jc w:val="start"/>
              <w:rPr>
                <w:lang w:val="nl-NL"/>
              </w:rPr>
            </w:pPr>
            <w:r>
              <w:rPr>
                <w:lang w:val="nl-NL"/>
              </w:rPr>
              <w:t>Scherp</w:t>
            </w:r>
          </w:p>
          <w:p>
            <w:pPr>
              <w:pStyle w:val="T4dispositie"/>
              <w:jc w:val="start"/>
              <w:rPr>
                <w:lang w:val="nl-NL"/>
              </w:rPr>
            </w:pPr>
            <w:r>
              <w:rPr>
                <w:lang w:val="nl-NL"/>
              </w:rPr>
              <w:t>Kromhoorn</w:t>
            </w:r>
          </w:p>
        </w:tc>
        <w:tc>
          <w:tcPr>
            <w:tcW w:w="85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3-4 st.</w:t>
            </w:r>
          </w:p>
          <w:p>
            <w:pPr>
              <w:pStyle w:val="T4dispositie"/>
              <w:jc w:val="start"/>
              <w:rPr>
                <w:lang w:val="nl-NL"/>
              </w:rPr>
            </w:pPr>
            <w:r>
              <w:rPr>
                <w:lang w:val="nl-NL"/>
              </w:rPr>
              <w:t>8'</w:t>
            </w:r>
          </w:p>
        </w:tc>
        <w:tc>
          <w:tcPr>
            <w:tcW w:w="1161"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4dispositie"/>
        <w:jc w:val="start"/>
        <w:rPr>
          <w:lang w:val="nl-NL"/>
        </w:rPr>
      </w:pPr>
      <w:r>
        <w:rPr>
          <w:lang w:val="nl-NL"/>
        </w:rPr>
        <w:t>* in werkelijkheid Blokfluit 2’</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HW-OP B/D, Ped-HW (trede)</w:t>
      </w:r>
    </w:p>
    <w:p>
      <w:pPr>
        <w:pStyle w:val="T1"/>
        <w:jc w:val="start"/>
        <w:rPr>
          <w:lang w:val="nl-NL"/>
        </w:rPr>
      </w:pPr>
      <w:r>
        <w:rPr>
          <w:lang w:val="nl-NL"/>
        </w:rPr>
      </w:r>
    </w:p>
    <w:p>
      <w:pPr>
        <w:pStyle w:val="T1"/>
        <w:jc w:val="start"/>
        <w:rPr>
          <w:lang w:val="nl-NL"/>
        </w:rPr>
      </w:pPr>
      <w:r>
        <w:rPr>
          <w:lang w:val="nl-NL"/>
        </w:rPr>
        <w:t>Samenstelling vulstemmen</w:t>
      </w:r>
    </w:p>
    <w:tbl>
      <w:tblPr>
        <w:tblW w:w="2712" w:type="dxa"/>
        <w:jc w:val="start"/>
        <w:tblInd w:w="-70" w:type="dxa"/>
        <w:tblLayout w:type="fixed"/>
        <w:tblCellMar>
          <w:top w:w="0" w:type="dxa"/>
          <w:start w:w="70" w:type="dxa"/>
          <w:bottom w:w="0" w:type="dxa"/>
          <w:end w:w="70" w:type="dxa"/>
        </w:tblCellMar>
      </w:tblPr>
      <w:tblGrid>
        <w:gridCol w:w="1474"/>
        <w:gridCol w:w="619"/>
        <w:gridCol w:w="619"/>
      </w:tblGrid>
      <w:tr>
        <w:trPr/>
        <w:tc>
          <w:tcPr>
            <w:tcW w:w="1474" w:type="dxa"/>
            <w:tcBorders/>
          </w:tcPr>
          <w:p>
            <w:pPr>
              <w:pStyle w:val="T1"/>
              <w:jc w:val="start"/>
              <w:rPr>
                <w:lang w:val="nl-NL"/>
              </w:rPr>
            </w:pPr>
            <w:r>
              <w:rPr>
                <w:lang w:val="nl-NL"/>
              </w:rPr>
              <w:t>Mixtuur HW</w:t>
            </w:r>
          </w:p>
        </w:tc>
        <w:tc>
          <w:tcPr>
            <w:tcW w:w="61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61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Sesquialter HW   c</w:t>
      </w:r>
      <w:r>
        <w:rPr>
          <w:vertAlign w:val="superscript"/>
          <w:lang w:val="nl-NL"/>
        </w:rPr>
        <w:t>1</w:t>
      </w:r>
      <w:r>
        <w:rPr>
          <w:lang w:val="nl-NL"/>
        </w:rPr>
        <w:t xml:space="preserve">   </w:t>
      </w:r>
      <w:r>
        <w:rPr>
          <w:sz w:val="20"/>
          <w:lang w:val="nl-NL"/>
        </w:rPr>
        <w:t>2 2/3 – 1 3/5</w:t>
      </w:r>
    </w:p>
    <w:p>
      <w:pPr>
        <w:pStyle w:val="T1"/>
        <w:jc w:val="start"/>
        <w:rPr>
          <w:lang w:val="nl-NL"/>
        </w:rPr>
      </w:pPr>
      <w:r>
        <w:rPr>
          <w:lang w:val="nl-NL"/>
        </w:rPr>
      </w:r>
    </w:p>
    <w:p>
      <w:pPr>
        <w:pStyle w:val="T1"/>
        <w:jc w:val="start"/>
        <w:rPr/>
      </w:pPr>
      <w:r>
        <w:rPr>
          <w:lang w:val="nl-NL"/>
        </w:rPr>
        <w:t>Cornett HW   c</w:t>
      </w:r>
      <w:r>
        <w:rPr>
          <w:vertAlign w:val="superscript"/>
          <w:lang w:val="nl-NL"/>
        </w:rPr>
        <w:t>1</w:t>
      </w:r>
      <w:r>
        <w:rPr>
          <w:lang w:val="nl-NL"/>
        </w:rPr>
        <w:t xml:space="preserve">  </w:t>
      </w:r>
      <w:r>
        <w:rPr>
          <w:sz w:val="20"/>
          <w:lang w:val="nl-NL"/>
        </w:rPr>
        <w:t>2 2/3 – 2 – 1 3/5</w:t>
      </w:r>
      <w:r>
        <w:rPr>
          <w:lang w:val="nl-NL"/>
        </w:rPr>
        <w:t xml:space="preserve"> </w:t>
      </w:r>
    </w:p>
    <w:p>
      <w:pPr>
        <w:pStyle w:val="T1"/>
        <w:jc w:val="start"/>
        <w:rPr>
          <w:lang w:val="nl-NL"/>
        </w:rPr>
      </w:pPr>
      <w:r>
        <w:rPr>
          <w:lang w:val="nl-NL"/>
        </w:rPr>
      </w:r>
    </w:p>
    <w:tbl>
      <w:tblPr>
        <w:tblW w:w="4782" w:type="dxa"/>
        <w:jc w:val="start"/>
        <w:tblInd w:w="-70" w:type="dxa"/>
        <w:tblLayout w:type="fixed"/>
        <w:tblCellMar>
          <w:top w:w="0" w:type="dxa"/>
          <w:start w:w="70" w:type="dxa"/>
          <w:bottom w:w="0" w:type="dxa"/>
          <w:end w:w="70" w:type="dxa"/>
        </w:tblCellMar>
      </w:tblPr>
      <w:tblGrid>
        <w:gridCol w:w="1344"/>
        <w:gridCol w:w="555"/>
        <w:gridCol w:w="718"/>
        <w:gridCol w:w="718"/>
        <w:gridCol w:w="718"/>
        <w:gridCol w:w="729"/>
      </w:tblGrid>
      <w:tr>
        <w:trPr/>
        <w:tc>
          <w:tcPr>
            <w:tcW w:w="1344" w:type="dxa"/>
            <w:tcBorders/>
          </w:tcPr>
          <w:p>
            <w:pPr>
              <w:pStyle w:val="T1"/>
              <w:jc w:val="start"/>
              <w:rPr>
                <w:lang w:val="nl-NL"/>
              </w:rPr>
            </w:pPr>
            <w:r>
              <w:rPr>
                <w:lang w:val="nl-NL"/>
              </w:rPr>
              <w:t>Scherp BW</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g en gis voor Trompet 8’ en koppeling HW-OP; tussen h en c’ voor de combinatie Kwint B / Sesquialter D.</w:t>
      </w:r>
    </w:p>
    <w:p>
      <w:pPr>
        <w:pStyle w:val="T1"/>
        <w:jc w:val="start"/>
        <w:rPr>
          <w:lang w:val="nl-NL"/>
        </w:rPr>
      </w:pPr>
      <w:r>
        <w:rPr>
          <w:lang w:val="nl-NL"/>
        </w:rPr>
        <w:t>Van de oorspronkelijke orgelkas zijn de panelen van de achterzijde verdwenen. Het pijpwerk van het HW staat opgesteld op twee laden. De grootste pijpen staan in het midden, het vervolg aan de buitenzijden, in hele tonen van buiten af aflopend, de kleine pijpen daartussen, in hele tonen van binnen uit aflopend. De lade voor het OP is chromatisch ingedeeld, met de kleinste pijpen aan de klaviatuurzijde. De beide pedaalstemmen staan in open opstelling achter het orgel.</w:t>
      </w:r>
    </w:p>
    <w:p>
      <w:pPr>
        <w:pStyle w:val="T1"/>
        <w:jc w:val="start"/>
        <w:rPr>
          <w:lang w:val="nl-NL"/>
        </w:rPr>
      </w:pPr>
      <w:r>
        <w:rPr>
          <w:lang w:val="nl-NL"/>
        </w:rPr>
        <w:t>Alle frontpijpen zijn houten imitatiepijpen die aan de achterzijde enigszins zijn afgeplat. Enkele grotere pijpen van de Principal 8’ (HW) en Viola da Gamba 8’ (HW) zijn van zink. In de overige registers zijn relatief veel houten pijpen aanwezig die alle geverfd zijn: C-h van de Hohlpfeife 8’, C-F van de Octav 4’ en C-H van de Rohrflöte 4’ (alle HW), alsmede C-h van de Bourdon 8’ (OP). Ook de Subbas 16’ is van hout, evenals C-H van Octaafbas 8’. De Flauto traverso (Blokfluit, OP) is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2002-07-03T10:47:00Z</dcterms:created>
  <dc:creator>WS1</dc:creator>
  <dc:description/>
  <dc:language>en-US</dc:language>
  <cp:lastModifiedBy>WS1</cp:lastModifiedBy>
  <dcterms:modified xsi:type="dcterms:W3CDTF">2002-07-03T10:47:00Z</dcterms:modified>
  <cp:revision>2</cp:revision>
  <dc:subject/>
  <dc:title>Hernen / 1856</dc:title>
</cp:coreProperties>
</file>