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27B5E">
      <w:pPr>
        <w:pStyle w:val="Heading1"/>
      </w:pPr>
      <w:bookmarkStart w:id="0" w:name="_GoBack"/>
      <w:bookmarkEnd w:id="0"/>
      <w:r>
        <w:t>Lippenhuizen / 1859</w:t>
      </w:r>
    </w:p>
    <w:p w:rsidR="00000000" w:rsidRDefault="00F27B5E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In oorsprong uit 1743 daterende zaalkerk die haar huidige aanzien dankt aan een verbouwing uit 1860. Preekstoel uit het derde kwart van de 17e eeuw.</w:t>
      </w:r>
    </w:p>
    <w:p w:rsidR="00000000" w:rsidRDefault="00F27B5E">
      <w:pPr>
        <w:pStyle w:val="T1"/>
        <w:jc w:val="left"/>
        <w:rPr>
          <w:i/>
          <w:iCs/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Kas: 1859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:rsidR="00000000" w:rsidRDefault="00F27B5E">
      <w:pPr>
        <w:pStyle w:val="T2Kunst"/>
        <w:jc w:val="left"/>
        <w:rPr>
          <w:lang w:val="nl-NL"/>
        </w:rPr>
      </w:pPr>
      <w:r>
        <w:rPr>
          <w:lang w:val="nl-NL"/>
        </w:rPr>
        <w:t>Een wat grotere en rijker gedecor</w:t>
      </w:r>
      <w:r>
        <w:rPr>
          <w:lang w:val="nl-NL"/>
        </w:rPr>
        <w:t xml:space="preserve">eerde versie van het type </w:t>
      </w:r>
      <w:proofErr w:type="spellStart"/>
      <w:r>
        <w:rPr>
          <w:lang w:val="nl-NL"/>
        </w:rPr>
        <w:t>Joure</w:t>
      </w:r>
      <w:proofErr w:type="spellEnd"/>
      <w:r>
        <w:rPr>
          <w:lang w:val="nl-NL"/>
        </w:rPr>
        <w:t>, Doopsgezinde Kerk (1858). De hoofdopzet is bij beide orgels gelijk: een flauw gebogen driedelige middenpartij en twee zijvelden met een S-vormige welving.</w:t>
      </w:r>
    </w:p>
    <w:p w:rsidR="00000000" w:rsidRDefault="00F27B5E">
      <w:pPr>
        <w:pStyle w:val="T2Kunst"/>
        <w:jc w:val="left"/>
        <w:rPr>
          <w:lang w:val="nl-NL"/>
        </w:rPr>
      </w:pPr>
      <w:r>
        <w:rPr>
          <w:lang w:val="nl-NL"/>
        </w:rPr>
        <w:t xml:space="preserve">Het snijwerk is wat rijker van vorm dan in </w:t>
      </w:r>
      <w:proofErr w:type="spellStart"/>
      <w:r>
        <w:rPr>
          <w:lang w:val="nl-NL"/>
        </w:rPr>
        <w:t>Joure</w:t>
      </w:r>
      <w:proofErr w:type="spellEnd"/>
      <w:r>
        <w:rPr>
          <w:lang w:val="nl-NL"/>
        </w:rPr>
        <w:t>. Onder in het midde</w:t>
      </w:r>
      <w:r>
        <w:rPr>
          <w:lang w:val="nl-NL"/>
        </w:rPr>
        <w:t xml:space="preserve">nveld ziet men aan beide zijden een combinatie van een staande en een liggende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, met in het midden een figuur die lijkt op een Franse lelie: een blindering van een type dat bij de Van </w:t>
      </w:r>
      <w:proofErr w:type="spellStart"/>
      <w:r>
        <w:rPr>
          <w:lang w:val="nl-NL"/>
        </w:rPr>
        <w:t>Dams</w:t>
      </w:r>
      <w:proofErr w:type="spellEnd"/>
      <w:r>
        <w:rPr>
          <w:lang w:val="nl-NL"/>
        </w:rPr>
        <w:t xml:space="preserve"> vaker is te vinden. Dat geldt ook voor het rankwerk boven i</w:t>
      </w:r>
      <w:r>
        <w:rPr>
          <w:lang w:val="nl-NL"/>
        </w:rPr>
        <w:t xml:space="preserve">n dit veld. In de torenvelden ziet men gekoppelde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. Merkwaardig is het snijwerk aan de pijpvoeten in de zijvelden; van buiten naar binnen gaande ziet men een op zijn krul staande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waaraan naar de buitenzijde twee ranken ontspringen, vervol</w:t>
      </w:r>
      <w:r>
        <w:rPr>
          <w:lang w:val="nl-NL"/>
        </w:rPr>
        <w:t xml:space="preserve">gens een </w:t>
      </w:r>
      <w:proofErr w:type="spellStart"/>
      <w:r>
        <w:rPr>
          <w:lang w:val="nl-NL"/>
        </w:rPr>
        <w:t>bebladerde</w:t>
      </w:r>
      <w:proofErr w:type="spellEnd"/>
      <w:r>
        <w:rPr>
          <w:lang w:val="nl-NL"/>
        </w:rPr>
        <w:t xml:space="preserve"> staande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en ten slotte een liggende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. Deze drie voluten worden door verticale elementen duidelijk van elkaar gescheiden. Dergelijk onsamenhangend snijwerk treffen we in het vroegere werk van de Van </w:t>
      </w:r>
      <w:proofErr w:type="spellStart"/>
      <w:r>
        <w:rPr>
          <w:lang w:val="nl-NL"/>
        </w:rPr>
        <w:t>Dams</w:t>
      </w:r>
      <w:proofErr w:type="spellEnd"/>
      <w:r>
        <w:rPr>
          <w:lang w:val="nl-NL"/>
        </w:rPr>
        <w:t xml:space="preserve"> niet aan. De S-vo</w:t>
      </w:r>
      <w:r>
        <w:rPr>
          <w:lang w:val="nl-NL"/>
        </w:rPr>
        <w:t xml:space="preserve">rmige bovenlijst, die aan de uiteinden van enig bescheiden bladwerk is voorzien, is waarschijnlijk altijd verguld geweest waardoor hij een geheel vormt met het uit gekoppelde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gevormde snijwerk. De vleugelstukken vallen op door hun wat ruige bladw</w:t>
      </w:r>
      <w:r>
        <w:rPr>
          <w:lang w:val="nl-NL"/>
        </w:rPr>
        <w:t xml:space="preserve">erk. In het breedste gedeelte is een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opgenomen waarin een bloemmotief met de door de Van </w:t>
      </w:r>
      <w:proofErr w:type="spellStart"/>
      <w:r>
        <w:rPr>
          <w:lang w:val="nl-NL"/>
        </w:rPr>
        <w:t>Dams</w:t>
      </w:r>
      <w:proofErr w:type="spellEnd"/>
      <w:r>
        <w:rPr>
          <w:lang w:val="nl-NL"/>
        </w:rPr>
        <w:t xml:space="preserve"> in deze tijd zo graag gebruikte </w:t>
      </w:r>
      <w:proofErr w:type="spellStart"/>
      <w:r>
        <w:rPr>
          <w:lang w:val="nl-NL"/>
        </w:rPr>
        <w:t>omkrullingen</w:t>
      </w:r>
      <w:proofErr w:type="spellEnd"/>
      <w:r>
        <w:rPr>
          <w:lang w:val="nl-NL"/>
        </w:rPr>
        <w:t xml:space="preserve">. Op de middenpartij een uit gekoppelde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samengesteld opzetstuk met lier. Op de zijstijlen een opzet</w:t>
      </w:r>
      <w:r>
        <w:rPr>
          <w:lang w:val="nl-NL"/>
        </w:rPr>
        <w:t xml:space="preserve">stuk van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en een kleine palmet. Men lette nog op de opengewerkte borstwering van de orgelgaanderij met haar </w:t>
      </w:r>
      <w:proofErr w:type="spellStart"/>
      <w:r>
        <w:rPr>
          <w:lang w:val="nl-NL"/>
        </w:rPr>
        <w:t>pijpvormige</w:t>
      </w:r>
      <w:proofErr w:type="spellEnd"/>
      <w:r>
        <w:rPr>
          <w:lang w:val="nl-NL"/>
        </w:rPr>
        <w:t xml:space="preserve"> versieringen waarin gestileerde florale motieven.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Literatuur</w:t>
      </w:r>
    </w:p>
    <w:p w:rsidR="00000000" w:rsidRDefault="00F27B5E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Boekzaal</w:t>
      </w:r>
      <w:r>
        <w:rPr>
          <w:lang w:val="nl-NL"/>
        </w:rPr>
        <w:t xml:space="preserve"> 1859B, 222-223.</w:t>
      </w:r>
    </w:p>
    <w:p w:rsidR="00000000" w:rsidRDefault="00F27B5E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13/33 (1859).</w:t>
      </w:r>
    </w:p>
    <w:p w:rsidR="00000000" w:rsidRDefault="00F27B5E">
      <w:pPr>
        <w:pStyle w:val="T3Lit"/>
        <w:jc w:val="left"/>
        <w:rPr>
          <w:lang w:val="nl-NL"/>
        </w:rPr>
      </w:pPr>
    </w:p>
    <w:p w:rsidR="00000000" w:rsidRDefault="00F27B5E">
      <w:pPr>
        <w:pStyle w:val="T3Lit"/>
        <w:jc w:val="left"/>
        <w:rPr>
          <w:lang w:val="nl-NL"/>
        </w:rPr>
      </w:pPr>
      <w:r>
        <w:rPr>
          <w:lang w:val="nl-NL"/>
        </w:rPr>
        <w:t>Monumentnummer 31859</w:t>
      </w:r>
    </w:p>
    <w:p w:rsidR="00000000" w:rsidRDefault="00F27B5E">
      <w:pPr>
        <w:pStyle w:val="T3Lit"/>
        <w:jc w:val="left"/>
        <w:rPr>
          <w:lang w:val="nl-NL"/>
        </w:rPr>
      </w:pPr>
      <w:r>
        <w:rPr>
          <w:lang w:val="nl-NL"/>
        </w:rPr>
        <w:t>Orgelnummer 888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L. van Dam en Zonen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l859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L. van Dam en Zonen l915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oorspronkelijke registerplaatjes vervangen door nieuwe porseleinen exemplaren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H.J. Vierdag l962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</w:t>
      </w:r>
      <w:r>
        <w:rPr>
          <w:lang w:val="nl-NL"/>
        </w:rPr>
        <w:t>stauratie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windlade hersteld, slepen vervangen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 xml:space="preserve">fa </w:t>
      </w:r>
      <w:proofErr w:type="spellStart"/>
      <w:r>
        <w:rPr>
          <w:lang w:val="nl-NL"/>
        </w:rPr>
        <w:t>Faber</w:t>
      </w:r>
      <w:proofErr w:type="spellEnd"/>
      <w:r>
        <w:rPr>
          <w:lang w:val="nl-NL"/>
        </w:rPr>
        <w:t xml:space="preserve"> 1976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:rsidR="00000000" w:rsidRDefault="00F27B5E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>ventielen opnieuw beleerd, scheuren aan de onderzijde van de windlade met leerstroken gedicht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l979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 verend sleepsysteem aangebracht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W</w:t>
      </w:r>
      <w:r>
        <w:rPr>
          <w:lang w:val="nl-NL"/>
        </w:rPr>
        <w:t>erkindeling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508"/>
        <w:gridCol w:w="54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08" w:type="dxa"/>
          </w:tcPr>
          <w:p w:rsidR="00000000" w:rsidRDefault="00F27B5E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10 stemmen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  <w:r>
              <w:rPr>
                <w:lang w:val="nl-NL"/>
              </w:rPr>
              <w:t>*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Viool de </w:t>
            </w:r>
            <w:proofErr w:type="spellStart"/>
            <w:r>
              <w:rPr>
                <w:lang w:val="nl-NL"/>
              </w:rPr>
              <w:t>Gambe</w:t>
            </w:r>
            <w:proofErr w:type="spellEnd"/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Quintprestant</w:t>
            </w:r>
            <w:proofErr w:type="spellEnd"/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547" w:type="dxa"/>
          </w:tcPr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:rsidR="00000000" w:rsidRDefault="00F27B5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:rsidR="00000000" w:rsidRDefault="00F27B5E">
      <w:pPr>
        <w:pStyle w:val="T4dispositie"/>
        <w:rPr>
          <w:lang w:val="nl-NL"/>
        </w:rPr>
      </w:pPr>
    </w:p>
    <w:p w:rsidR="00000000" w:rsidRDefault="00F27B5E">
      <w:pPr>
        <w:pStyle w:val="T4dispositie"/>
        <w:rPr>
          <w:lang w:val="nl-NL"/>
        </w:rPr>
      </w:pPr>
      <w:r>
        <w:rPr>
          <w:lang w:val="nl-NL"/>
        </w:rPr>
        <w:t>* op het registerplaatje staat abusievelijk 1</w:t>
      </w:r>
      <w:r>
        <w:rPr>
          <w:lang w:val="nl-NL"/>
        </w:rPr>
        <w:t>6'</w:t>
      </w:r>
    </w:p>
    <w:p w:rsidR="00000000" w:rsidRDefault="00F27B5E">
      <w:pPr>
        <w:pStyle w:val="T4dispositie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afsluiting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tremulant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ventiel</w:t>
      </w:r>
    </w:p>
    <w:p w:rsidR="00000000" w:rsidRDefault="00F27B5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piano-trede</w:t>
      </w:r>
      <w:proofErr w:type="spellEnd"/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2 2/3 - 2 - 1 3/5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Manuaalomvang</w:t>
      </w:r>
    </w:p>
    <w:p w:rsidR="00000000" w:rsidRDefault="00F27B5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³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:rsidR="00000000" w:rsidRDefault="00F27B5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magazijnbalg met s</w:t>
      </w:r>
      <w:r>
        <w:rPr>
          <w:lang w:val="nl-NL"/>
        </w:rPr>
        <w:t>chepbalgen en handpomp (1859)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76 mm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:rsidR="00000000" w:rsidRDefault="00F27B5E">
      <w:pPr>
        <w:pStyle w:val="T1"/>
        <w:jc w:val="left"/>
        <w:rPr>
          <w:lang w:val="nl-NL"/>
        </w:rPr>
      </w:pP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 xml:space="preserve">De windlade bezit een </w:t>
      </w:r>
      <w:proofErr w:type="spellStart"/>
      <w:r>
        <w:rPr>
          <w:lang w:val="nl-NL"/>
        </w:rPr>
        <w:t>cancelvolgorde</w:t>
      </w:r>
      <w:proofErr w:type="spellEnd"/>
      <w:r>
        <w:rPr>
          <w:lang w:val="nl-NL"/>
        </w:rPr>
        <w:t xml:space="preserve"> in hele tonen, C in het midden van de lade.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>De lade bezit twee ventielkasten, één aan de frontzijd</w:t>
      </w:r>
      <w:r>
        <w:rPr>
          <w:lang w:val="nl-NL"/>
        </w:rPr>
        <w:t xml:space="preserve">e en één aan de achterzijde. De </w:t>
      </w: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piano-trede</w:t>
      </w:r>
      <w:proofErr w:type="spellEnd"/>
      <w:r>
        <w:rPr>
          <w:lang w:val="nl-NL"/>
        </w:rPr>
        <w:t xml:space="preserve"> fungeert als afsluiting van de achterste ventielkast, welke correspondeert met de registers Roerfluit 4</w:t>
      </w:r>
      <w:r>
        <w:t>'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Quintprestant</w:t>
      </w:r>
      <w:proofErr w:type="spellEnd"/>
      <w:r>
        <w:rPr>
          <w:lang w:val="nl-NL"/>
        </w:rPr>
        <w:t xml:space="preserve"> 3</w:t>
      </w:r>
      <w:r>
        <w:t>'</w:t>
      </w:r>
      <w:r>
        <w:rPr>
          <w:lang w:val="nl-NL"/>
        </w:rPr>
        <w:t>, Octaaf 2</w:t>
      </w:r>
      <w:r>
        <w:t>'</w:t>
      </w:r>
      <w:r>
        <w:rPr>
          <w:lang w:val="nl-NL"/>
        </w:rPr>
        <w:t xml:space="preserve">, Cornet en Trompet. Eiken pijpen zijn aanwezig voor 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 van de Bourdon 1</w:t>
      </w:r>
      <w:r>
        <w:rPr>
          <w:lang w:val="nl-NL"/>
        </w:rPr>
        <w:t>6</w:t>
      </w:r>
      <w:r>
        <w:t>'</w:t>
      </w:r>
      <w:r>
        <w:rPr>
          <w:lang w:val="nl-NL"/>
        </w:rPr>
        <w:t xml:space="preserve"> en 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 van de Holpijp 8</w:t>
      </w:r>
      <w:r>
        <w:t>'</w:t>
      </w:r>
      <w:r>
        <w:rPr>
          <w:lang w:val="nl-NL"/>
        </w:rPr>
        <w:t xml:space="preserve">. De Trompet bezit grenen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>, mahonie koppen en messing kelen.</w:t>
      </w:r>
    </w:p>
    <w:p w:rsidR="00000000" w:rsidRDefault="00F27B5E">
      <w:pPr>
        <w:pStyle w:val="T1"/>
        <w:jc w:val="left"/>
        <w:rPr>
          <w:lang w:val="nl-NL"/>
        </w:rPr>
      </w:pPr>
      <w:r>
        <w:rPr>
          <w:lang w:val="nl-NL"/>
        </w:rPr>
        <w:t xml:space="preserve">Bij de bouw van het orgel is gebruik gemaakt van ouder pijpwerk. Een deel daarvan draagt de kenmerken van de orgelmaker </w:t>
      </w:r>
      <w:proofErr w:type="spellStart"/>
      <w:r>
        <w:rPr>
          <w:lang w:val="nl-NL"/>
        </w:rPr>
        <w:t>Johannes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Stephanus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Strumphler</w:t>
      </w:r>
      <w:proofErr w:type="spellEnd"/>
      <w:r>
        <w:rPr>
          <w:lang w:val="nl-NL"/>
        </w:rPr>
        <w:t xml:space="preserve">. Het lijkt </w:t>
      </w:r>
      <w:r>
        <w:rPr>
          <w:lang w:val="nl-NL"/>
        </w:rPr>
        <w:t xml:space="preserve">plausibel dat deze pijpen afkomstig zijn uit het </w:t>
      </w:r>
      <w:proofErr w:type="spellStart"/>
      <w:r>
        <w:rPr>
          <w:lang w:val="nl-NL"/>
        </w:rPr>
        <w:t>Strumphler-orgel</w:t>
      </w:r>
      <w:proofErr w:type="spellEnd"/>
      <w:r>
        <w:rPr>
          <w:lang w:val="nl-NL"/>
        </w:rPr>
        <w:t xml:space="preserve"> van de Doopsgezinde Kerk te Leeuwarden, dat in l858 ingrijpend werd vernieuwd door L. van Dam en Zonen.</w:t>
      </w:r>
    </w:p>
    <w:p w:rsidR="00F27B5E" w:rsidRDefault="00F27B5E">
      <w:pPr>
        <w:pStyle w:val="T1"/>
        <w:jc w:val="left"/>
        <w:rPr>
          <w:lang w:val="nl-NL"/>
        </w:rPr>
      </w:pPr>
      <w:r>
        <w:rPr>
          <w:lang w:val="nl-NL"/>
        </w:rPr>
        <w:t xml:space="preserve">Ouder pijpwerk bevindt zich in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</w:t>
      </w:r>
      <w:r>
        <w:t>'</w:t>
      </w:r>
      <w:r>
        <w:rPr>
          <w:lang w:val="nl-NL"/>
        </w:rPr>
        <w:t xml:space="preserve"> (binnenpijpen, een ingekorte trechtervor</w:t>
      </w:r>
      <w:r>
        <w:rPr>
          <w:lang w:val="nl-NL"/>
        </w:rPr>
        <w:t xml:space="preserve">mige Viool 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</w:t>
      </w:r>
      <w:r>
        <w:t>'</w:t>
      </w:r>
      <w:r>
        <w:rPr>
          <w:lang w:val="nl-NL"/>
        </w:rPr>
        <w:t>), Bourdon 16</w:t>
      </w:r>
      <w:r>
        <w:t>'</w:t>
      </w:r>
      <w:r>
        <w:rPr>
          <w:lang w:val="nl-NL"/>
        </w:rPr>
        <w:t xml:space="preserve"> (vanaf gis), Octaaf 4</w:t>
      </w:r>
      <w:r>
        <w:t>'</w:t>
      </w:r>
      <w:r>
        <w:rPr>
          <w:lang w:val="nl-NL"/>
        </w:rPr>
        <w:t xml:space="preserve"> (vanaf b), </w:t>
      </w:r>
      <w:proofErr w:type="spellStart"/>
      <w:r>
        <w:rPr>
          <w:lang w:val="nl-NL"/>
        </w:rPr>
        <w:t>Quintprestant</w:t>
      </w:r>
      <w:proofErr w:type="spellEnd"/>
      <w:r>
        <w:rPr>
          <w:lang w:val="nl-NL"/>
        </w:rPr>
        <w:t xml:space="preserve"> 3</w:t>
      </w:r>
      <w:r>
        <w:t>'</w:t>
      </w:r>
      <w:r>
        <w:rPr>
          <w:lang w:val="nl-NL"/>
        </w:rPr>
        <w:t>, Octaaf 2</w:t>
      </w:r>
      <w:r>
        <w:t>'</w:t>
      </w:r>
      <w:r>
        <w:rPr>
          <w:lang w:val="nl-NL"/>
        </w:rPr>
        <w:t xml:space="preserve"> en Roerfluit 4</w:t>
      </w:r>
      <w:r>
        <w:t>'</w:t>
      </w:r>
      <w:r>
        <w:rPr>
          <w:lang w:val="nl-NL"/>
        </w:rPr>
        <w:t>.</w:t>
      </w:r>
    </w:p>
    <w:sectPr w:rsidR="00F27B5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92D72"/>
    <w:multiLevelType w:val="hybridMultilevel"/>
    <w:tmpl w:val="4FD633E4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B8"/>
    <w:rsid w:val="00C223B8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5:chartTrackingRefBased/>
  <w15:docId w15:val="{21F73941-EFC7-AF42-A0E5-5026047E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Lippenhuizen / 1859</vt:lpstr>
    </vt:vector>
  </TitlesOfParts>
  <Company>NIvO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Lippenhuizen / 1859</dc:title>
  <dc:subject/>
  <dc:creator>WS1</dc:creator>
  <cp:keywords/>
  <dc:description/>
  <cp:lastModifiedBy>Eline J Duijsens</cp:lastModifiedBy>
  <cp:revision>2</cp:revision>
  <dcterms:created xsi:type="dcterms:W3CDTF">2021-09-20T12:11:00Z</dcterms:created>
  <dcterms:modified xsi:type="dcterms:W3CDTF">2021-09-20T12:11:00Z</dcterms:modified>
</cp:coreProperties>
</file>