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Oosteind / 1860</w:t>
      </w:r>
    </w:p>
    <w:p>
      <w:pPr>
        <w:pStyle w:val="Heading2"/>
        <w:rPr>
          <w:i w:val="false"/>
          <w:i w:val="false"/>
          <w:iCs w:val="false"/>
        </w:rPr>
      </w:pPr>
      <w:r>
        <w:rPr>
          <w:i w:val="false"/>
          <w:iCs w:val="false"/>
        </w:rPr>
        <w:t>R.K. H-Johannes de Doperkerk</w:t>
      </w:r>
    </w:p>
    <w:p>
      <w:pPr>
        <w:pStyle w:val="T1"/>
        <w:jc w:val="start"/>
        <w:rPr>
          <w:i/>
          <w:i/>
          <w:iCs/>
          <w:lang w:val="nl-NL"/>
        </w:rPr>
      </w:pPr>
      <w:r>
        <w:rPr>
          <w:i/>
          <w:iCs/>
          <w:lang w:val="nl-NL"/>
        </w:rPr>
      </w:r>
    </w:p>
    <w:p>
      <w:pPr>
        <w:pStyle w:val="T1"/>
        <w:jc w:val="start"/>
        <w:rPr>
          <w:i/>
          <w:i/>
          <w:iCs/>
        </w:rPr>
      </w:pPr>
      <w:r>
        <w:rPr>
          <w:i/>
          <w:iCs/>
        </w:rPr>
        <w:t>Driebeukige neoclassicistische pseudobasiliek met toren, gebouwd 1852-1853 naar ontwerp van P. Soffers. Inwendig in de middenbeuk een gestuct tongewelf, in de zijbeuken gestucte kruisribgewelven. Preekstoel uit 1881. Hoogaltaar uit 1902.</w:t>
      </w:r>
    </w:p>
    <w:p>
      <w:pPr>
        <w:pStyle w:val="T1"/>
        <w:jc w:val="start"/>
        <w:rPr>
          <w:i/>
          <w:i/>
          <w:iCs/>
          <w:lang w:val="nl-NL"/>
        </w:rPr>
      </w:pPr>
      <w:r>
        <w:rPr>
          <w:i/>
          <w:iCs/>
          <w:lang w:val="nl-NL"/>
        </w:rPr>
      </w:r>
    </w:p>
    <w:p>
      <w:pPr>
        <w:pStyle w:val="T1"/>
        <w:jc w:val="start"/>
        <w:rPr>
          <w:lang w:val="nl-NL"/>
        </w:rPr>
      </w:pPr>
      <w:r>
        <w:rPr>
          <w:lang w:val="nl-NL"/>
        </w:rPr>
        <w:t>Kas: 1860</w:t>
      </w:r>
    </w:p>
    <w:p>
      <w:pPr>
        <w:pStyle w:val="T1"/>
        <w:jc w:val="start"/>
        <w:rPr>
          <w:lang w:val="nl-NL"/>
        </w:rPr>
      </w:pPr>
      <w:r>
        <w:rPr>
          <w:lang w:val="nl-NL"/>
        </w:rPr>
      </w:r>
    </w:p>
    <w:p>
      <w:pPr>
        <w:pStyle w:val="Heading2"/>
        <w:rPr>
          <w:i w:val="false"/>
          <w:i w:val="false"/>
          <w:iCs w:val="false"/>
        </w:rPr>
      </w:pPr>
      <w:r>
        <w:rPr>
          <w:i w:val="false"/>
          <w:iCs w:val="false"/>
        </w:rPr>
        <w:t>Kunsthistorische aspecten</w:t>
      </w:r>
    </w:p>
    <w:p>
      <w:pPr>
        <w:pStyle w:val="T2Kunst"/>
        <w:jc w:val="start"/>
        <w:rPr>
          <w:lang w:val="nl-NL"/>
        </w:rPr>
      </w:pPr>
      <w:r>
        <w:rPr>
          <w:lang w:val="nl-NL"/>
        </w:rPr>
        <w:t>Het meest opvallende aan dit orgel zijn de verdubbelde tussenvelden. Verder heeft het drie ronde torens. In opzet en decoratie zijn verschillende overeenkomsten te bespeuren met het front van het Loret-orgel in het naburige Waspik uit 1857 (deel 1850-1858, 349-351). Er kan geen twijfel aan zijn dat het frontontwerp van dit orgel het uiterlijk van het instrument in Oosteind heeft beïnvloed. Ook in Waspik ziet men drie ronde torens en dubbele tussenvelden. Het verschil is dat daar de buitenste tussenvelden zijn gedeeld en voorzien van een tegengesteld labiumverloop. De binnenste velden zijn ongedeeld. Men kan uitgaande van dit schema twee wegen bewandelen: ofwel beide velden tweedelig maken, wat Loret deed bij zijn enige jaren later gebouwde orgel in Udenhout, of binnen- en buitenvelden ongedeeld uitvoeren en dit is wat Van der Aa deed in Oosteind. Bij beide orgels zijn de beide velden gescheiden door een brede als pilaster behandelde stijl. In Waspik ligt de voetlijst van de middentoren hoger dan die van de tussenvelden en zijtorens. In Oosteind liggen ze op één lijn, al suggereert de holling in de binnenvelden, vanuit de kerk gezien, een hogere plaatsing van de middentoren. Wij stuiten daar meteen op nog een verschil met Waspik: daar vertonen de gedeelde buitenvelden een holling en zijn de binnenvelden vlak, hier is het precies omgekeerd. Ook de silhouetwerking van beide orgels vertoont verschillen. In Waspik vertonen de bovenlijsten van de twee tussenvelden een soort V-vorm, in Oosteind lopen zij vanaf de middentoren af. De labiumlijmen van beide velden laten een naar het midden toe doorgaande aflopende lijn zien. In Waspik zien wij, mede door de gedeelde buitenvelden, een grotere afwisseling in het labiumverloop.</w:t>
      </w:r>
    </w:p>
    <w:p>
      <w:pPr>
        <w:pStyle w:val="T2Kunst"/>
        <w:jc w:val="start"/>
        <w:rPr>
          <w:lang w:val="nl-NL"/>
        </w:rPr>
      </w:pPr>
      <w:r>
        <w:rPr>
          <w:lang w:val="nl-NL"/>
        </w:rPr>
        <w:t>Ook in de decoratie zijn er overeenkomsten met Waspik, maar de verschillen zijn ook aanzienlijk. De maker ervan was goed thuis in de Zuid-Nederlandse barokke vormentaal, waarmee hij dikwijls tamelijk vrijzinnig omging. De stijlen tussen de beide tussenvelden zijn, evenals in Waspik, behandeld als gecanneleerde pilasters. In Waspik zijn deze voorzien van corinthische kapitelen, waarboven frontonsegmenten met een engel erop. In Oosteind ziet men daar een zeer vrij opgevat ionisch kapiteel, waarboven een meanderachtig ornament, waaruit naar boven een fantastisch gevormde bladkrul ontstaat en naar het buitenveld een krullende bladrank die de bovenlijst van veld vormt. De binnenvelden worden aan de bovenzijde afgesloten door twee smalle ongeveer parallel lopende gebogen lijsten, waartussen rococo-achtig schuimwerk is te zien, en die verder versierd zijn met bladwerk en vruchten. De onder deze lijsten aangebrachte blinderingen zijn opmerkelijk: zij bestaan uit reeksen figuren die elk zijn samengesteld uit van boven naar beneden twee naar elkaar geopende C-voluten, twee rug aan rug geplaatste C-voluten en een afhangend blad. Van een afstand gezien wekt het onmiskenbaar gotische associaties. De blinderingen in de middentoren geven in het midden twee naar beneden geopende C-voluten te zien met een palmet erboven, en naar opzij voluutachtige figuren, ook weer met rococo-schuim afgewerkt. De vormen in de zijtorens zijn vergelijkbaar, alleen zijn de centrale C-voluten hier schuin naar boven geopend. In de torenkappen zijn ook voluut-decoraties aangebracht. In de middentoren wekken deze duidelijk associaties met een ionisch kapiteel, in de zijtorens is dat minder uitgesproken.</w:t>
      </w:r>
    </w:p>
    <w:p>
      <w:pPr>
        <w:pStyle w:val="T2Kunst"/>
        <w:jc w:val="start"/>
        <w:rPr>
          <w:lang w:val="nl-NL"/>
        </w:rPr>
      </w:pPr>
      <w:r>
        <w:rPr>
          <w:lang w:val="nl-NL"/>
        </w:rPr>
        <w:t>Ook op de overgang van boven- naar onderkas is interessant snijwerk te zien. Aan de onderzijde van de pilasters zijn bladconsoles aangebracht waaronder een 'geteld geld' motief, een vierkant blok met diamantkop en een rijk blad. De console onder de middentoren vertoont een lotusachtig motief. De consoles onder de zijtorens zijn abstracter en hebben onmiskenbare rococo-vormen. Deze vindt men ook nog terug in de onderkas. De fraaie ranken in de lijst tussen de torenconsoles verdienen nog de aandacht.</w:t>
      </w:r>
    </w:p>
    <w:p>
      <w:pPr>
        <w:pStyle w:val="T2Kunst"/>
        <w:jc w:val="start"/>
        <w:rPr>
          <w:lang w:val="nl-NL"/>
        </w:rPr>
      </w:pPr>
      <w:r>
        <w:rPr>
          <w:lang w:val="nl-NL"/>
        </w:rPr>
        <w:t>In de decoratie van deze orgelkas zijn diverse overeenkomsten met Waspik aan te treffen, met name in het gebruik van rococo-schuim. De verschillen zijn echter ook aanzienlijk: de torenblinderingen hebben, ofschoon verwant in vormentaal, een geheel ander karakter. De forse engelenkoppen onder de torens in Waspik hebben in Oosteind geen equivalent. Zeer duidelijk zijn de overeenkomsten echter bij de vleugelstukken. Wij zien hier een aantal C-voluten, rijk omspoeld door schuim en afgebiesd met bladwerk. Onderaan heeft aan beide zijden een gevleugelde putto met bazuin plaats genomen. Behalve deze putti bezit het orgel alleen nog een beeld van koning David op de middentoren. Het snijwerk in Waspik werd vervaardigd door de beeldsnijder J.B. Peeters uit Antwerpen. Het is mogelijk dat deze ook aan het orgel in Oosteind heeft gewerkt. Het is echter ook denkbaar dat de gebroeders Van der Aa, al dan niet met medewerking van Peeters, zelf het snijwerk hebben gemaakt. Misschien waren zij een tijd bij Peeters in de leer.</w:t>
      </w:r>
    </w:p>
    <w:p>
      <w:pPr>
        <w:pStyle w:val="T2Kunst"/>
        <w:jc w:val="start"/>
        <w:rPr>
          <w:lang w:val="nl-NL"/>
        </w:rPr>
      </w:pPr>
      <w:r>
        <w:rPr>
          <w:lang w:val="nl-NL"/>
        </w:rPr>
        <w:t xml:space="preserve"> </w:t>
      </w:r>
    </w:p>
    <w:p>
      <w:pPr>
        <w:pStyle w:val="T3Lit"/>
        <w:jc w:val="start"/>
        <w:rPr>
          <w:b/>
          <w:b/>
          <w:bCs/>
          <w:lang w:val="nl-NL"/>
        </w:rPr>
      </w:pPr>
      <w:r>
        <w:rPr>
          <w:b/>
          <w:bCs/>
          <w:lang w:val="nl-NL"/>
        </w:rPr>
        <w:t>Literatuur</w:t>
      </w:r>
    </w:p>
    <w:p>
      <w:pPr>
        <w:pStyle w:val="T3Lit"/>
        <w:rPr/>
      </w:pPr>
      <w:r>
        <w:rPr>
          <w:lang w:val="nl-NL"/>
        </w:rPr>
        <w:t xml:space="preserve">Hans van der Harst, ‘Het orgel in de H. Hartkerk te Deventer’. </w:t>
      </w:r>
      <w:r>
        <w:rPr>
          <w:i/>
          <w:iCs/>
          <w:lang w:val="nl-NL"/>
        </w:rPr>
        <w:t>Het Orgel</w:t>
      </w:r>
      <w:r>
        <w:rPr>
          <w:lang w:val="nl-NL"/>
        </w:rPr>
        <w:t>, 74/4 (1978), 118-121.</w:t>
      </w:r>
    </w:p>
    <w:p>
      <w:pPr>
        <w:pStyle w:val="T3Lit"/>
        <w:rPr/>
      </w:pPr>
      <w:r>
        <w:rPr>
          <w:lang w:val="nl-NL"/>
        </w:rPr>
        <w:t xml:space="preserve">Frans Jespers, </w:t>
      </w:r>
      <w:r>
        <w:rPr>
          <w:i/>
          <w:iCs/>
          <w:lang w:val="nl-NL"/>
        </w:rPr>
        <w:t>Brabants Orgelbezit. Een inventarisatie van Brabantse orgels.</w:t>
      </w:r>
      <w:r>
        <w:rPr>
          <w:lang w:val="nl-NL"/>
        </w:rPr>
        <w:t xml:space="preserve"> 's-Hertogenbosch, 1975, 98-99.</w:t>
      </w:r>
    </w:p>
    <w:p>
      <w:pPr>
        <w:pStyle w:val="T3Lit"/>
        <w:rPr/>
      </w:pPr>
      <w:r>
        <w:rPr>
          <w:lang w:val="nl-NL"/>
        </w:rPr>
        <w:t xml:space="preserve">Frans Jespers, 'Huibert Cornelis van der Aa, orgelmaker te Oosterhout'. </w:t>
      </w:r>
      <w:r>
        <w:rPr>
          <w:i/>
          <w:iCs/>
          <w:lang w:val="nl-NL"/>
        </w:rPr>
        <w:t>Het Orgel</w:t>
      </w:r>
      <w:r>
        <w:rPr>
          <w:lang w:val="nl-NL"/>
        </w:rPr>
        <w:t>, 70/10 (1974), 327-329.</w:t>
      </w:r>
    </w:p>
    <w:p>
      <w:pPr>
        <w:pStyle w:val="T3Lit"/>
        <w:rPr/>
      </w:pPr>
      <w:r>
        <w:rPr>
          <w:lang w:val="nl-NL"/>
        </w:rPr>
        <w:t xml:space="preserve">Frans Jespers, </w:t>
      </w:r>
      <w:r>
        <w:rPr>
          <w:i/>
          <w:iCs/>
          <w:lang w:val="nl-NL"/>
        </w:rPr>
        <w:t>Repertorium van orgels en orgelmakers in Noord-Brabant tot omstreeks 1900.</w:t>
      </w:r>
      <w:r>
        <w:rPr>
          <w:lang w:val="nl-NL"/>
        </w:rPr>
        <w:t xml:space="preserve"> 's-Hertogenbosch, 1983, 227-228.</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Gebr. Vermeulen.</w:t>
      </w:r>
    </w:p>
    <w:p>
      <w:pPr>
        <w:pStyle w:val="T3Lit"/>
        <w:rPr>
          <w:lang w:val="nl-NL"/>
        </w:rPr>
      </w:pPr>
      <w:r>
        <w:rPr>
          <w:lang w:val="nl-NL"/>
        </w:rPr>
      </w:r>
    </w:p>
    <w:p>
      <w:pPr>
        <w:pStyle w:val="T3Lit"/>
        <w:rPr>
          <w:lang w:val="nl-NL"/>
        </w:rPr>
      </w:pPr>
      <w:r>
        <w:rPr>
          <w:lang w:val="nl-NL"/>
        </w:rPr>
        <w:t>Monumentnummer 31685</w:t>
      </w:r>
    </w:p>
    <w:p>
      <w:pPr>
        <w:pStyle w:val="T3Lit"/>
        <w:rPr>
          <w:lang w:val="nl-NL"/>
        </w:rPr>
      </w:pPr>
      <w:r>
        <w:rPr>
          <w:lang w:val="nl-NL"/>
        </w:rPr>
        <w:t>Orgelnummer 1134</w:t>
      </w:r>
    </w:p>
    <w:p>
      <w:pPr>
        <w:pStyle w:val="T1"/>
        <w:jc w:val="start"/>
        <w:rPr>
          <w:lang w:val="nl-NL"/>
        </w:rPr>
      </w:pPr>
      <w:r>
        <w:rPr>
          <w:lang w:val="nl-NL"/>
        </w:rPr>
      </w:r>
    </w:p>
    <w:p>
      <w:pPr>
        <w:pStyle w:val="Heading2"/>
        <w:rPr>
          <w:i w:val="false"/>
          <w:i w:val="false"/>
          <w:iCs w:val="false"/>
        </w:rPr>
      </w:pPr>
      <w:r>
        <w:rPr>
          <w:i w:val="false"/>
          <w:iCs w:val="false"/>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H.C. en J. van der Aa</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1. 1860</w:t>
      </w:r>
    </w:p>
    <w:p>
      <w:pPr>
        <w:pStyle w:val="T1"/>
        <w:jc w:val="start"/>
        <w:rPr>
          <w:lang w:val="nl-NL"/>
        </w:rPr>
      </w:pPr>
      <w:r>
        <w:rPr>
          <w:lang w:val="nl-NL"/>
        </w:rPr>
        <w:t>2. 1954</w:t>
      </w:r>
    </w:p>
    <w:p>
      <w:pPr>
        <w:pStyle w:val="T1"/>
        <w:jc w:val="start"/>
        <w:rPr>
          <w:lang w:val="nl-NL"/>
        </w:rPr>
      </w:pPr>
      <w:r>
        <w:rPr>
          <w:lang w:val="nl-NL"/>
        </w:rPr>
      </w:r>
    </w:p>
    <w:p>
      <w:pPr>
        <w:pStyle w:val="T1"/>
        <w:jc w:val="start"/>
        <w:rPr/>
      </w:pPr>
      <w:r>
        <w:rPr/>
        <w:t>Dispositie vóór 1930</w:t>
      </w:r>
    </w:p>
    <w:tbl>
      <w:tblPr>
        <w:tblW w:w="2244" w:type="dxa"/>
        <w:jc w:val="start"/>
        <w:tblInd w:w="-70" w:type="dxa"/>
        <w:tblLayout w:type="fixed"/>
        <w:tblCellMar>
          <w:top w:w="0" w:type="dxa"/>
          <w:start w:w="70" w:type="dxa"/>
          <w:bottom w:w="0" w:type="dxa"/>
          <w:end w:w="70" w:type="dxa"/>
        </w:tblCellMar>
      </w:tblPr>
      <w:tblGrid>
        <w:gridCol w:w="1619"/>
        <w:gridCol w:w="625"/>
      </w:tblGrid>
      <w:tr>
        <w:trPr/>
        <w:tc>
          <w:tcPr>
            <w:tcW w:w="1619"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Gemshoorn</w:t>
            </w:r>
          </w:p>
          <w:p>
            <w:pPr>
              <w:pStyle w:val="T4dispositie"/>
              <w:jc w:val="start"/>
              <w:rPr>
                <w:lang w:val="nl-NL"/>
              </w:rPr>
            </w:pPr>
            <w:r>
              <w:rPr>
                <w:lang w:val="nl-NL"/>
              </w:rPr>
              <w:t>Fluittravers</w:t>
            </w:r>
          </w:p>
          <w:p>
            <w:pPr>
              <w:pStyle w:val="T4dispositie"/>
              <w:jc w:val="start"/>
              <w:rPr>
                <w:lang w:val="nl-NL"/>
              </w:rPr>
            </w:pPr>
            <w:r>
              <w:rPr>
                <w:lang w:val="nl-NL"/>
              </w:rPr>
              <w:t>Super-octaaf</w:t>
            </w:r>
          </w:p>
          <w:p>
            <w:pPr>
              <w:pStyle w:val="T4dispositie"/>
              <w:jc w:val="start"/>
              <w:rPr>
                <w:lang w:val="nl-NL"/>
              </w:rPr>
            </w:pPr>
            <w:r>
              <w:rPr>
                <w:lang w:val="nl-NL"/>
              </w:rPr>
              <w:t>Coraal</w:t>
            </w:r>
          </w:p>
          <w:p>
            <w:pPr>
              <w:pStyle w:val="T4dispositie"/>
              <w:jc w:val="start"/>
              <w:rPr>
                <w:lang w:val="nl-NL"/>
              </w:rPr>
            </w:pPr>
            <w:r>
              <w:rPr>
                <w:lang w:val="nl-NL"/>
              </w:rPr>
              <w:t>Cornet D</w:t>
            </w:r>
          </w:p>
          <w:p>
            <w:pPr>
              <w:pStyle w:val="T4dispositie"/>
              <w:jc w:val="start"/>
              <w:rPr>
                <w:lang w:val="nl-NL"/>
              </w:rPr>
            </w:pPr>
            <w:r>
              <w:rPr>
                <w:lang w:val="nl-NL"/>
              </w:rPr>
              <w:t>Trompet</w:t>
            </w:r>
          </w:p>
          <w:p>
            <w:pPr>
              <w:pStyle w:val="T4dispositie"/>
              <w:jc w:val="start"/>
              <w:rPr>
                <w:lang w:val="nl-NL"/>
              </w:rPr>
            </w:pPr>
            <w:r>
              <w:rPr>
                <w:lang w:val="nl-NL"/>
              </w:rPr>
              <w:t>Basson B</w:t>
            </w:r>
          </w:p>
          <w:p>
            <w:pPr>
              <w:pStyle w:val="T4dispositie"/>
              <w:jc w:val="start"/>
              <w:rPr>
                <w:lang w:val="nl-NL"/>
              </w:rPr>
            </w:pPr>
            <w:r>
              <w:rPr>
                <w:lang w:val="nl-NL"/>
              </w:rPr>
              <w:t>Hobo D</w:t>
            </w:r>
          </w:p>
        </w:tc>
        <w:tc>
          <w:tcPr>
            <w:tcW w:w="6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aangehangen pedaal, C-f</w:t>
      </w:r>
    </w:p>
    <w:p>
      <w:pPr>
        <w:pStyle w:val="T4dispositie"/>
        <w:jc w:val="start"/>
        <w:rPr/>
      </w:pPr>
      <w:r>
        <w:rPr>
          <w:lang w:val="nl-NL"/>
        </w:rPr>
        <w:t>manuaalomvang C-g</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Gebr. Vermeulen ca 1930</w:t>
      </w:r>
    </w:p>
    <w:p>
      <w:pPr>
        <w:pStyle w:val="T1"/>
        <w:jc w:val="start"/>
        <w:rPr>
          <w:lang w:val="nl-NL"/>
        </w:rPr>
      </w:pPr>
      <w:r>
        <w:rPr>
          <w:lang w:val="nl-NL"/>
        </w:rPr>
        <w:t>.</w:t>
        <w:tab/>
        <w:t>- Basson-Hobo B/D 8', + Voix celeste 8' (vanaf c)</w:t>
      </w:r>
    </w:p>
    <w:p>
      <w:pPr>
        <w:pStyle w:val="T1"/>
        <w:jc w:val="start"/>
        <w:rPr>
          <w:lang w:val="nl-NL"/>
        </w:rPr>
      </w:pPr>
      <w:r>
        <w:rPr>
          <w:lang w:val="nl-NL"/>
        </w:rPr>
      </w:r>
    </w:p>
    <w:p>
      <w:pPr>
        <w:pStyle w:val="T1"/>
        <w:jc w:val="start"/>
        <w:rPr>
          <w:lang w:val="nl-NL"/>
        </w:rPr>
      </w:pPr>
      <w:r>
        <w:rPr>
          <w:lang w:val="nl-NL"/>
        </w:rPr>
        <w:t>Gebr. Vermeulen 1954</w:t>
      </w:r>
    </w:p>
    <w:p>
      <w:pPr>
        <w:pStyle w:val="T1"/>
        <w:jc w:val="start"/>
        <w:rPr>
          <w:lang w:val="nl-NL"/>
        </w:rPr>
      </w:pPr>
      <w:r>
        <w:rPr>
          <w:lang w:val="nl-NL"/>
        </w:rPr>
        <w:t>.</w:t>
        <w:tab/>
        <w:t>orgel verbouwd tot tweeklaviers instrument met vrij pedaal</w:t>
      </w:r>
    </w:p>
    <w:p>
      <w:pPr>
        <w:pStyle w:val="T1"/>
        <w:numPr>
          <w:ilvl w:val="0"/>
          <w:numId w:val="2"/>
        </w:numPr>
        <w:tabs>
          <w:tab w:val="clear" w:pos="720"/>
          <w:tab w:val="left" w:pos="0" w:leader="none"/>
        </w:tabs>
        <w:ind w:start="1418" w:hanging="1418"/>
        <w:jc w:val="start"/>
        <w:rPr>
          <w:lang w:val="nl-NL"/>
        </w:rPr>
      </w:pPr>
      <w:r>
        <w:rPr>
          <w:lang w:val="nl-NL"/>
        </w:rPr>
        <w:t>bestaande windladen en mechanieken vervangen door elektropneumatische kegelladen</w:t>
      </w:r>
    </w:p>
    <w:p>
      <w:pPr>
        <w:pStyle w:val="T1"/>
        <w:numPr>
          <w:ilvl w:val="0"/>
          <w:numId w:val="2"/>
        </w:numPr>
        <w:tabs>
          <w:tab w:val="clear" w:pos="720"/>
          <w:tab w:val="left" w:pos="0" w:leader="none"/>
        </w:tabs>
        <w:ind w:start="709" w:hanging="709"/>
        <w:jc w:val="start"/>
        <w:rPr>
          <w:lang w:val="nl-NL"/>
        </w:rPr>
      </w:pPr>
      <w:r>
        <w:rPr>
          <w:lang w:val="nl-NL"/>
        </w:rPr>
        <w:t>nieuwe vrijstaande speeltafel geplaatst</w:t>
      </w:r>
    </w:p>
    <w:p>
      <w:pPr>
        <w:pStyle w:val="T1"/>
        <w:jc w:val="start"/>
        <w:rPr>
          <w:lang w:val="nl-NL"/>
        </w:rPr>
      </w:pPr>
      <w:r>
        <w:rPr>
          <w:lang w:val="nl-NL"/>
        </w:rPr>
        <w:t>.</w:t>
        <w:tab/>
        <w:t>- Viola di gamba 8', + Salicionaal 8'</w:t>
      </w:r>
    </w:p>
    <w:p>
      <w:pPr>
        <w:pStyle w:val="T1"/>
        <w:jc w:val="start"/>
        <w:rPr>
          <w:lang w:val="nl-NL"/>
        </w:rPr>
      </w:pPr>
      <w:r>
        <w:rPr>
          <w:lang w:val="nl-NL"/>
        </w:rPr>
      </w:r>
    </w:p>
    <w:p>
      <w:pPr>
        <w:pStyle w:val="T1"/>
        <w:jc w:val="start"/>
        <w:rPr>
          <w:lang w:val="nl-NL"/>
        </w:rPr>
      </w:pPr>
      <w:r>
        <w:rPr>
          <w:lang w:val="nl-NL"/>
        </w:rPr>
        <w:t>Gebr. Vermeulen 1974</w:t>
      </w:r>
    </w:p>
    <w:p>
      <w:pPr>
        <w:pStyle w:val="T1"/>
        <w:jc w:val="start"/>
        <w:rPr>
          <w:lang w:val="nl-NL"/>
        </w:rPr>
      </w:pPr>
      <w:r>
        <w:rPr>
          <w:lang w:val="nl-NL"/>
        </w:rPr>
        <w:t>.</w:t>
        <w:tab/>
        <w:t>ZwW - Voix celeste 8', + Quint 2 2/3' (vanaf c)</w:t>
        <w:tab/>
      </w:r>
    </w:p>
    <w:p>
      <w:pPr>
        <w:pStyle w:val="T1"/>
        <w:jc w:val="start"/>
        <w:rPr>
          <w:lang w:val="nl-NL"/>
        </w:rPr>
      </w:pPr>
      <w:r>
        <w:rPr>
          <w:lang w:val="nl-NL"/>
        </w:rPr>
      </w:r>
    </w:p>
    <w:p>
      <w:pPr>
        <w:pStyle w:val="T1"/>
        <w:jc w:val="start"/>
        <w:rPr>
          <w:lang w:val="nl-NL"/>
        </w:rPr>
      </w:pPr>
      <w:r>
        <w:rPr>
          <w:lang w:val="nl-NL"/>
        </w:rPr>
        <w:t>Gebr. Vermeulen 1995</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val="false"/>
        </w:rPr>
      </w:pPr>
      <w:r>
        <w:rPr>
          <w:i w:val="false"/>
          <w:iCs w:val="false"/>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636" w:type="dxa"/>
        <w:jc w:val="start"/>
        <w:tblInd w:w="-70" w:type="dxa"/>
        <w:tblLayout w:type="fixed"/>
        <w:tblCellMar>
          <w:top w:w="0" w:type="dxa"/>
          <w:start w:w="70" w:type="dxa"/>
          <w:bottom w:w="0" w:type="dxa"/>
          <w:end w:w="70" w:type="dxa"/>
        </w:tblCellMar>
      </w:tblPr>
      <w:tblGrid>
        <w:gridCol w:w="1580"/>
        <w:gridCol w:w="625"/>
        <w:gridCol w:w="1528"/>
        <w:gridCol w:w="779"/>
        <w:gridCol w:w="1225"/>
        <w:gridCol w:w="899"/>
      </w:tblGrid>
      <w:tr>
        <w:trPr/>
        <w:tc>
          <w:tcPr>
            <w:tcW w:w="158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Superoctaaf</w:t>
            </w:r>
          </w:p>
          <w:p>
            <w:pPr>
              <w:pStyle w:val="T4dispositie"/>
              <w:jc w:val="start"/>
              <w:rPr>
                <w:lang w:val="nl-NL"/>
              </w:rPr>
            </w:pPr>
            <w:r>
              <w:rPr>
                <w:lang w:val="nl-NL"/>
              </w:rPr>
              <w:t>Cornet D</w:t>
            </w:r>
          </w:p>
          <w:p>
            <w:pPr>
              <w:pStyle w:val="T4dispositie"/>
              <w:jc w:val="start"/>
              <w:rPr>
                <w:lang w:val="nl-NL"/>
              </w:rPr>
            </w:pPr>
            <w:r>
              <w:rPr>
                <w:lang w:val="nl-NL"/>
              </w:rPr>
              <w:t>Trompet</w:t>
            </w:r>
          </w:p>
        </w:tc>
        <w:tc>
          <w:tcPr>
            <w:tcW w:w="6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c>
          <w:tcPr>
            <w:tcW w:w="1528"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Koraal</w:t>
            </w:r>
          </w:p>
        </w:tc>
        <w:tc>
          <w:tcPr>
            <w:tcW w:w="77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1225"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Gedektbas</w:t>
            </w:r>
          </w:p>
        </w:tc>
        <w:tc>
          <w:tcPr>
            <w:tcW w:w="89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p>
            <w:pPr>
              <w:pStyle w:val="T4dispositie"/>
              <w:jc w:val="start"/>
              <w:rPr>
                <w:lang w:val="nl-NL"/>
              </w:rPr>
            </w:pPr>
            <w:r>
              <w:rPr>
                <w:lang w:val="nl-NL"/>
              </w:rPr>
              <w:t>8'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HW-ZwW, HW-ZwW 16', Ped-HW, Ped-ZwW, Ped-ZwW 4'</w:t>
      </w:r>
    </w:p>
    <w:p>
      <w:pPr>
        <w:pStyle w:val="T1"/>
        <w:jc w:val="start"/>
        <w:rPr>
          <w:lang w:val="nl-NL"/>
        </w:rPr>
      </w:pPr>
      <w:r>
        <w:rPr>
          <w:lang w:val="nl-NL"/>
        </w:rPr>
        <w:t>vaste combinaties P - MF - F - Tutti</w:t>
      </w:r>
    </w:p>
    <w:p>
      <w:pPr>
        <w:pStyle w:val="T1"/>
        <w:jc w:val="start"/>
        <w:rPr>
          <w:lang w:val="nl-NL"/>
        </w:rPr>
      </w:pPr>
      <w:r>
        <w:rPr>
          <w:lang w:val="nl-NL"/>
        </w:rPr>
        <w:t>vrije combinatie</w:t>
      </w:r>
    </w:p>
    <w:p>
      <w:pPr>
        <w:pStyle w:val="T1"/>
        <w:jc w:val="start"/>
        <w:rPr>
          <w:lang w:val="nl-NL"/>
        </w:rPr>
      </w:pPr>
      <w:r>
        <w:rPr>
          <w:lang w:val="nl-NL"/>
        </w:rPr>
        <w:t>automatisch pianopedaal</w:t>
      </w:r>
    </w:p>
    <w:p>
      <w:pPr>
        <w:pStyle w:val="T1"/>
        <w:jc w:val="start"/>
        <w:rPr>
          <w:lang w:val="nl-NL"/>
        </w:rPr>
      </w:pPr>
      <w:r>
        <w:rPr>
          <w:lang w:val="nl-NL"/>
        </w:rPr>
        <w:t>tongwerk af</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szCs w:val="20"/>
          <w:lang w:val="nl-NL"/>
        </w:rPr>
        <w:t>c</w:t>
      </w:r>
      <w:r>
        <w:rPr>
          <w:sz w:val="20"/>
          <w:szCs w:val="20"/>
          <w:vertAlign w:val="superscript"/>
          <w:lang w:val="nl-NL"/>
        </w:rPr>
        <w:t>1</w:t>
      </w:r>
      <w:r>
        <w:rPr>
          <w:sz w:val="20"/>
          <w:szCs w:val="20"/>
          <w:lang w:val="nl-NL"/>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val="false"/>
        </w:rPr>
      </w:pPr>
      <w:r>
        <w:rPr>
          <w:i w:val="false"/>
          <w:iCs w:val="false"/>
        </w:rPr>
        <w:t>Bijzonderheden</w:t>
      </w:r>
    </w:p>
    <w:p>
      <w:pPr>
        <w:pStyle w:val="T1"/>
        <w:jc w:val="start"/>
        <w:rPr>
          <w:i/>
          <w:i/>
          <w:iCs/>
          <w:lang w:val="nl-NL"/>
        </w:rPr>
      </w:pPr>
      <w:r>
        <w:rPr>
          <w:i/>
          <w:iCs/>
          <w:lang w:val="nl-NL"/>
        </w:rPr>
      </w:r>
    </w:p>
    <w:p>
      <w:pPr>
        <w:pStyle w:val="T1"/>
        <w:jc w:val="start"/>
        <w:rPr>
          <w:lang w:val="nl-NL"/>
        </w:rPr>
      </w:pPr>
      <w:r>
        <w:rPr>
          <w:lang w:val="nl-NL"/>
        </w:rPr>
        <w:t>Van der Harst vermeldt de vermoedelijk oorspronkelijke dispositie. Tot 1954 bezat het orgel een (mechanische) vrijstaande speeltafel, midden voor het orgel.</w:t>
      </w:r>
    </w:p>
    <w:p>
      <w:pPr>
        <w:pStyle w:val="T1"/>
        <w:jc w:val="start"/>
        <w:rPr>
          <w:lang w:val="nl-NL"/>
        </w:rPr>
      </w:pPr>
      <w:r>
        <w:rPr>
          <w:lang w:val="nl-NL"/>
        </w:rPr>
        <w:t>Het pijpwerk is grotendeels oud. De Bourdon 16' heeft houten pijpen voor de tonen C-f, het vervolg is van metaal. De Prestant 8' staat van C-h in het front, de discant staat op de lade. Op c van de Bourdon 8' staat de inscriptie ‘Gedekte Fluit 4 vt’. Het gehele register is evenwel oud, en waarschijnlijk al in 1860 zo geplaatst. C-A van de Octaaf 4' zijn van een licht afwijkende factuur. Het vervolg is van 1860 met de inscriptie ‘Octaaf 4 vt B’ op de gelijknamige pijp. Het overige pijpwerk van het HW is oud, zij het dat de bekers van de Trompet 8' in de bas zijn verlengd.</w:t>
      </w:r>
    </w:p>
    <w:p>
      <w:pPr>
        <w:pStyle w:val="T1"/>
        <w:jc w:val="start"/>
        <w:rPr/>
      </w:pPr>
      <w:r>
        <w:rPr>
          <w:lang w:val="nl-NL"/>
        </w:rPr>
        <w:t>Het groot octaaf van de Roerfluit 8' (ZwW) is gedekt, het vervolg is van roeren voorzien. De uit 1954 daterende Salicionaal 8' heeft zinken pijpen voor de tonen C-H, het vervolg is van spotted metal. De Quint 2 2/3' begint op c en dateert uit 1974. De Koraal 2' is een gedekte fluit; vanaf c</w:t>
      </w:r>
      <w:r>
        <w:rPr>
          <w:vertAlign w:val="superscript"/>
          <w:lang w:val="nl-NL"/>
        </w:rPr>
        <w:t>2</w:t>
      </w:r>
      <w:r>
        <w:rPr>
          <w:lang w:val="nl-NL"/>
        </w:rPr>
        <w:t xml:space="preserve"> is dit register open. De beide pedaalstemmen zijn uitgevoerd als transmissie van de Bourdon 16'.</w:t>
      </w:r>
    </w:p>
    <w:sectPr>
      <w:type w:val="nextPage"/>
      <w:pgSz w:w="11906" w:h="16838"/>
      <w:pgMar w:left="1800" w:right="180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1"/>
    <w:family w:val="modern"/>
    <w:pitch w:val="default"/>
  </w:font>
  <w:font w:name="Arial">
    <w:charset w:val="01"/>
    <w:family w:val="swiss"/>
    <w:pitch w:val="variable"/>
  </w:font>
  <w:font w:name="Liberation Sans">
    <w:altName w:val="Arial"/>
    <w:charset w:val="01" w:characterSet="utf-8"/>
    <w:family w:val="swiss"/>
    <w:pitch w:val="variable"/>
  </w:font>
  <w:font w:name="Tahoma">
    <w:charset w:val="01"/>
    <w:family w:val="swiss"/>
    <w:pitch w:val="variable"/>
  </w:font>
  <w:font w:name="Times New Roman">
    <w:charset w:val="01"/>
    <w:family w:val="roman"/>
    <w:pitch w:val="variable"/>
  </w:font>
  <w:font w:name="Univer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709"/>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Courier New" w:cs="Courier New"/>
      <w:color w:val="auto"/>
      <w:sz w:val="24"/>
      <w:szCs w:val="24"/>
      <w:lang w:val="nl-NL"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 w:hAnsi="Arial" w:eastAsia="Arial" w:cs="Arial"/>
      <w:b/>
      <w:bCs/>
      <w:kern w:val="2"/>
      <w:sz w:val="28"/>
      <w:szCs w:val="28"/>
    </w:rPr>
  </w:style>
  <w:style w:type="paragraph" w:styleId="Heading2">
    <w:name w:val="Heading 2"/>
    <w:basedOn w:val="Normal"/>
    <w:next w:val="Normal"/>
    <w:qFormat/>
    <w:pPr>
      <w:keepNext w:val="true"/>
      <w:numPr>
        <w:ilvl w:val="1"/>
        <w:numId w:val="1"/>
      </w:numPr>
      <w:spacing w:before="240" w:after="60"/>
      <w:outlineLvl w:val="1"/>
    </w:pPr>
    <w:rPr>
      <w:rFonts w:ascii="Arial" w:hAnsi="Arial" w:eastAsia="Arial" w:cs="Arial"/>
      <w:b/>
      <w:bCs/>
      <w:i/>
      <w:iC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Map">
    <w:name w:val="Document Map"/>
    <w:basedOn w:val="Normal"/>
    <w:qFormat/>
    <w:pPr>
      <w:shd w:fill="000080" w:val="clear"/>
    </w:pPr>
    <w:rPr>
      <w:rFonts w:ascii="Tahoma" w:hAnsi="Tahoma" w:eastAsia="Tahoma" w:cs="Tahoma"/>
    </w:rPr>
  </w:style>
  <w:style w:type="paragraph" w:styleId="T1">
    <w:name w:val="T1"/>
    <w:basedOn w:val="Normal"/>
    <w:qFormat/>
    <w:pPr>
      <w:suppressAutoHyphens w:val="true"/>
      <w:jc w:val="both"/>
    </w:pPr>
    <w:rPr>
      <w:rFonts w:ascii="Times New Roman" w:hAnsi="Times New Roman" w:eastAsia="Times New Roman" w:cs="Times New Roman"/>
      <w:spacing w:val="-3"/>
      <w:lang w:val="en-US"/>
    </w:rPr>
  </w:style>
  <w:style w:type="paragraph" w:styleId="T2Kunst">
    <w:name w:val="T2 Kunst"/>
    <w:basedOn w:val="Normal"/>
    <w:qFormat/>
    <w:pPr>
      <w:suppressAutoHyphens w:val="true"/>
      <w:jc w:val="both"/>
    </w:pPr>
    <w:rPr>
      <w:rFonts w:ascii="Univers;Arial" w:hAnsi="Univers;Arial" w:eastAsia="Univers;Arial" w:cs="Univers;Arial"/>
      <w:spacing w:val="-3"/>
      <w:lang w:val="en-US"/>
    </w:rPr>
  </w:style>
  <w:style w:type="paragraph" w:styleId="T3Lit">
    <w:name w:val="T3 Lit"/>
    <w:basedOn w:val="Normal"/>
    <w:qFormat/>
    <w:pPr>
      <w:suppressAutoHyphens w:val="true"/>
      <w:jc w:val="both"/>
    </w:pPr>
    <w:rPr>
      <w:rFonts w:ascii="Univers;Arial" w:hAnsi="Univers;Arial" w:eastAsia="Univers;Arial" w:cs="Univers;Arial"/>
      <w:spacing w:val="-3"/>
      <w:sz w:val="20"/>
      <w:szCs w:val="20"/>
      <w:lang w:val="en-US"/>
    </w:rPr>
  </w:style>
  <w:style w:type="paragraph" w:styleId="T4dispositie">
    <w:name w:val="T4 dispositie"/>
    <w:basedOn w:val="Normal"/>
    <w:qFormat/>
    <w:pPr>
      <w:suppressAutoHyphens w:val="true"/>
      <w:jc w:val="both"/>
    </w:pPr>
    <w:rPr>
      <w:rFonts w:ascii="Times New Roman" w:hAnsi="Times New Roman" w:eastAsia="Times New Roman" w:cs="Times New Roman"/>
      <w:spacing w:val="-3"/>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2002-10-22T14:36:00Z</dcterms:created>
  <dc:creator>Roger</dc:creator>
  <dc:description/>
  <dc:language>en-US</dc:language>
  <cp:lastModifiedBy>WS1</cp:lastModifiedBy>
  <cp:lastPrinted>2003-04-29T12:05:00Z</cp:lastPrinted>
  <dcterms:modified xsi:type="dcterms:W3CDTF">2003-06-20T13:13:00Z</dcterms:modified>
  <cp:revision>14</cp:revision>
  <dc:subject/>
  <dc:title>Oosteind / 1860</dc:title>
</cp:coreProperties>
</file>