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Pingjum / 1878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 xml:space="preserve">Driezijdig gesloten eenbeukige kerk uit ca 1500 met een toren uit de 12e- of 13e eeuw die in de 15e eeuw werd verhoogd en voorzien van een zadeldak. Inwendig houten tongewelven. Sobere 19e-eeuwse inrichting.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vertoont weinig overeenkomsten met de orgels van Friedrich Leichel in Heino (1869, deel 1865-1872, 231-234) en Ommeren (1870, deel 1865-1872, 293-295). Van deze orgels keren bepaalde elementen wel terug in de latere instrumenten in Augustinusga (1883), Kootstertille (1884) en vooral Oosterblokker (1885).</w:t>
      </w:r>
    </w:p>
    <w:p>
      <w:pPr>
        <w:pStyle w:val="T2Kunst"/>
        <w:jc w:val="start"/>
        <w:rPr>
          <w:lang w:val="nl-NL"/>
        </w:rPr>
      </w:pPr>
      <w:r>
        <w:rPr>
          <w:lang w:val="nl-NL"/>
        </w:rPr>
        <w:t>Wij zien in Pingjum een eenvoudige zevendelige opbouw, bestaande uit een ronde middentoren van vijf pijpen, gedeelde vlakke tussenvelden met tegengesteld labiumverloop en horizontale scheidingslijsten, ronde zijtorens van vijf pijpen en vlakke zijvelden met inzwenkende naar buiten aflopende bovenlijsten. De buitenste stijlen van de zijvelden steken hoog boven het pijpveld uit en worden afgesloten door een kapiteelachtige verdikking, waarop een klein vaasje is geplaatst. De vorm van deze zijvelden met de inzwenkende bovenlijsten en de hoog opgehaalde zijstijlen is vrijwel zeker ontleend aan het Van Dam-front met twee torens van het type Oudwoude (1856, deel 1850-1858, 303-304). Voor de verdere vormgeving is geen directe inspiratiebron te vinden.</w:t>
      </w:r>
    </w:p>
    <w:p>
      <w:pPr>
        <w:pStyle w:val="T2Kunst"/>
        <w:jc w:val="start"/>
        <w:rPr>
          <w:lang w:val="nl-NL"/>
        </w:rPr>
      </w:pPr>
      <w:r>
        <w:rPr>
          <w:lang w:val="nl-NL"/>
        </w:rPr>
        <w:t>De decoratie is zeer sober. Zoals meestal bij Friedrich Leichel ontbreken blinderingen aan de pijpvoeten. Het snijwerk in de velden toont eenvoudige rankvormen. De blinderingen in de torens bestaan uit twee C-voluten die elkaar met twee krullen in het midden ontmoeten en aan de buitenzijde eenvoudig rankwerk doen ontspruiten.</w:t>
      </w:r>
    </w:p>
    <w:p>
      <w:pPr>
        <w:pStyle w:val="T2Kunst"/>
        <w:jc w:val="start"/>
        <w:rPr>
          <w:lang w:val="nl-NL"/>
        </w:rPr>
      </w:pPr>
      <w:r>
        <w:rPr>
          <w:lang w:val="nl-NL"/>
        </w:rPr>
        <w:t>Merkwaardig zijn de beelden op de torens. In het midden een vrouwenfiguur met een wijde rok, links een jonge man in een sierlijke, bijna dansante pose en rechts een knaapje dat een zware vaas met bloemen torst. Over de herkomst van deze beelden is niets bekend. Tegen de orgelgaanderij zijn nog twee andere beelden geplaatst: links een vrouwenfiguur met een kruis en bij haar rechtervoet twee boeken met sloten en rechts een vrouw met een kind aan de rechterhand en een brandend hart; zonder enige twijfel het Geloof en de Liefde. Wellicht hebben deze beelden oorspronkelijk op de torens gestaan. De Hoop is inmiddels verdwenen.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160, 204.</w:t>
      </w:r>
    </w:p>
    <w:p>
      <w:pPr>
        <w:pStyle w:val="T3Lit"/>
        <w:jc w:val="start"/>
        <w:rPr>
          <w:lang w:val="nl-NL"/>
        </w:rPr>
      </w:pPr>
      <w:r>
        <w:rPr>
          <w:lang w:val="nl-NL"/>
        </w:rPr>
      </w:r>
    </w:p>
    <w:p>
      <w:pPr>
        <w:pStyle w:val="T3Lit"/>
        <w:jc w:val="start"/>
        <w:rPr>
          <w:lang w:val="nl-NL"/>
        </w:rPr>
      </w:pPr>
      <w:r>
        <w:rPr>
          <w:lang w:val="nl-NL"/>
        </w:rPr>
        <w:t>Orgelnummer 1232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Friedrich Leichel</w:t>
      </w:r>
    </w:p>
    <w:p>
      <w:pPr>
        <w:pStyle w:val="T1"/>
        <w:jc w:val="start"/>
        <w:rPr>
          <w:lang w:val="nl-NL"/>
        </w:rPr>
      </w:pPr>
      <w:r>
        <w:rPr>
          <w:lang w:val="nl-NL"/>
        </w:rPr>
        <w:t>2. H. Spanjaard</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1. 1878</w:t>
      </w:r>
    </w:p>
    <w:p>
      <w:pPr>
        <w:pStyle w:val="T1"/>
        <w:jc w:val="start"/>
        <w:rPr>
          <w:lang w:val="nl-NL"/>
        </w:rPr>
      </w:pPr>
      <w:r>
        <w:rPr>
          <w:lang w:val="nl-NL"/>
        </w:rPr>
        <w:t>2. ca 1948</w:t>
      </w:r>
    </w:p>
    <w:p>
      <w:pPr>
        <w:pStyle w:val="T1"/>
        <w:jc w:val="start"/>
        <w:rPr>
          <w:lang w:val="nl-NL"/>
        </w:rPr>
      </w:pPr>
      <w:r>
        <w:rPr>
          <w:lang w:val="nl-NL"/>
        </w:rPr>
      </w:r>
    </w:p>
    <w:p>
      <w:pPr>
        <w:pStyle w:val="T1"/>
        <w:jc w:val="start"/>
        <w:rPr>
          <w:lang w:val="nl-NL"/>
        </w:rPr>
      </w:pPr>
      <w:r>
        <w:rPr>
          <w:lang w:val="nl-NL"/>
        </w:rPr>
        <w:t>Orgelmakerij Bakker &amp; Timmenga 1927</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1944</w:t>
      </w:r>
    </w:p>
    <w:p>
      <w:pPr>
        <w:pStyle w:val="T1"/>
        <w:jc w:val="start"/>
        <w:rPr>
          <w:lang w:val="nl-NL"/>
        </w:rPr>
      </w:pPr>
      <w:r>
        <w:rPr>
          <w:lang w:val="nl-NL"/>
        </w:rPr>
        <w:t>.</w:t>
        <w:tab/>
        <w:t>orgel door oorlogsgeweld beschadigd</w:t>
      </w:r>
    </w:p>
    <w:p>
      <w:pPr>
        <w:pStyle w:val="T1"/>
        <w:jc w:val="start"/>
        <w:rPr>
          <w:lang w:val="nl-NL"/>
        </w:rPr>
      </w:pPr>
      <w:r>
        <w:rPr>
          <w:lang w:val="nl-NL"/>
        </w:rPr>
      </w:r>
    </w:p>
    <w:p>
      <w:pPr>
        <w:pStyle w:val="T1"/>
        <w:jc w:val="start"/>
        <w:rPr>
          <w:lang w:val="nl-NL"/>
        </w:rPr>
      </w:pPr>
      <w:r>
        <w:rPr>
          <w:lang w:val="nl-NL"/>
        </w:rPr>
        <w:t>H. Spanjaard ca 1948</w:t>
      </w:r>
    </w:p>
    <w:p>
      <w:pPr>
        <w:pStyle w:val="T1"/>
        <w:jc w:val="start"/>
        <w:rPr>
          <w:lang w:val="nl-NL"/>
        </w:rPr>
      </w:pPr>
      <w:r>
        <w:rPr>
          <w:lang w:val="nl-NL"/>
        </w:rPr>
        <w:t>.</w:t>
        <w:tab/>
        <w:t>orgel hersteld en uitgebreid met vrij Ped</w:t>
      </w:r>
    </w:p>
    <w:p>
      <w:pPr>
        <w:pStyle w:val="T1"/>
        <w:jc w:val="start"/>
        <w:rPr/>
      </w:pPr>
      <w:r>
        <w:rPr>
          <w:lang w:val="nl-NL"/>
        </w:rPr>
        <w:t>.</w:t>
        <w:tab/>
        <w:t>C-d</w:t>
      </w:r>
      <w:r>
        <w:rPr>
          <w:vertAlign w:val="superscript"/>
          <w:lang w:val="nl-NL"/>
        </w:rPr>
        <w:t>1</w:t>
      </w:r>
      <w:r>
        <w:rPr>
          <w:lang w:val="nl-NL"/>
        </w:rPr>
        <w:t xml:space="preserve"> Gedakt 16' HW op Ped geplaatst</w:t>
      </w:r>
    </w:p>
    <w:p>
      <w:pPr>
        <w:pStyle w:val="T1"/>
        <w:jc w:val="start"/>
        <w:rPr>
          <w:lang w:val="nl-NL"/>
        </w:rPr>
      </w:pPr>
      <w:r>
        <w:rPr>
          <w:lang w:val="nl-NL"/>
        </w:rPr>
        <w:t>.</w:t>
        <w:tab/>
        <w:t>dispositiewijzigingen:</w:t>
      </w:r>
    </w:p>
    <w:p>
      <w:pPr>
        <w:pStyle w:val="T1"/>
        <w:jc w:val="start"/>
        <w:rPr>
          <w:lang w:val="nl-NL"/>
        </w:rPr>
      </w:pPr>
      <w:r>
        <w:rPr>
          <w:lang w:val="nl-NL"/>
        </w:rPr>
        <w:tab/>
        <w:t>HW - Viola di Gamba 8'</w:t>
      </w:r>
    </w:p>
    <w:p>
      <w:pPr>
        <w:pStyle w:val="T1"/>
        <w:jc w:val="start"/>
        <w:rPr>
          <w:lang w:val="nl-NL"/>
        </w:rPr>
      </w:pPr>
      <w:r>
        <w:rPr>
          <w:lang w:val="nl-NL"/>
        </w:rPr>
        <w:tab/>
        <w:t>BW + Viola di Gamba 8'; Gemshoorn 2' op pneumatisch laatje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17" w:type="dxa"/>
        <w:jc w:val="start"/>
        <w:tblInd w:w="0" w:type="dxa"/>
        <w:tblLayout w:type="fixed"/>
        <w:tblCellMar>
          <w:top w:w="0" w:type="dxa"/>
          <w:start w:w="70" w:type="dxa"/>
          <w:bottom w:w="0" w:type="dxa"/>
          <w:end w:w="70" w:type="dxa"/>
        </w:tblCellMar>
      </w:tblPr>
      <w:tblGrid>
        <w:gridCol w:w="1600"/>
        <w:gridCol w:w="480"/>
        <w:gridCol w:w="1737"/>
        <w:gridCol w:w="375"/>
        <w:gridCol w:w="933"/>
        <w:gridCol w:w="49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Gedakt</w:t>
            </w:r>
          </w:p>
          <w:p>
            <w:pPr>
              <w:pStyle w:val="T4dispositie"/>
              <w:jc w:val="start"/>
              <w:rPr>
                <w:lang w:val="nl-NL"/>
              </w:rPr>
            </w:pPr>
            <w:r>
              <w:rPr>
                <w:lang w:val="nl-NL"/>
              </w:rPr>
              <w:t xml:space="preserve">Prestant </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c>
          <w:tcPr>
            <w:tcW w:w="1737"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Gedakt</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Roerfluit</w:t>
            </w:r>
          </w:p>
          <w:p>
            <w:pPr>
              <w:pStyle w:val="T4dispositie"/>
              <w:jc w:val="start"/>
              <w:rPr>
                <w:lang w:val="nl-NL"/>
              </w:rPr>
            </w:pPr>
            <w:r>
              <w:rPr>
                <w:lang w:val="nl-NL"/>
              </w:rPr>
              <w:t>Gemshoorn</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c>
          <w:tcPr>
            <w:tcW w:w="933"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(1878)</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Normal"/>
        <w:rPr>
          <w:i/>
          <w:i/>
          <w:iCs/>
        </w:rPr>
      </w:pPr>
      <w:r>
        <w:rPr>
          <w:i/>
          <w:iCs/>
        </w:rPr>
      </w:r>
    </w:p>
    <w:p>
      <w:pPr>
        <w:pStyle w:val="T1"/>
        <w:jc w:val="start"/>
        <w:rPr>
          <w:lang w:val="nl-NL"/>
        </w:rPr>
      </w:pPr>
      <w:r>
        <w:rPr>
          <w:lang w:val="nl-NL"/>
        </w:rPr>
        <w:t>De Subbas 16' staat zonder kas op een pneumatische lade achter het orgel.</w:t>
      </w:r>
    </w:p>
    <w:p>
      <w:pPr>
        <w:pStyle w:val="T1"/>
        <w:jc w:val="start"/>
        <w:rPr/>
      </w:pPr>
      <w:r>
        <w:rPr>
          <w:lang w:val="nl-NL"/>
        </w:rPr>
        <w:t>De windlade van het HW is als volgt ingedeeld: Gis (hele tonen) e</w:t>
      </w:r>
      <w:r>
        <w:rPr>
          <w:vertAlign w:val="superscript"/>
          <w:lang w:val="nl-NL"/>
        </w:rPr>
        <w:t>3</w:t>
      </w:r>
      <w:r>
        <w:rPr>
          <w:lang w:val="nl-NL"/>
        </w:rPr>
        <w:t xml:space="preserve"> / Fis E D C Cis Dis F / f</w:t>
      </w:r>
      <w:r>
        <w:rPr>
          <w:vertAlign w:val="superscript"/>
          <w:lang w:val="nl-NL"/>
        </w:rPr>
        <w:t>3</w:t>
      </w:r>
      <w:r>
        <w:rPr>
          <w:lang w:val="nl-NL"/>
        </w:rPr>
        <w:t xml:space="preserve"> (hele tonen) G. De lade van het BW is chromatisch ingedeeld.</w:t>
      </w:r>
    </w:p>
    <w:p>
      <w:pPr>
        <w:pStyle w:val="T1"/>
        <w:jc w:val="start"/>
        <w:rPr/>
      </w:pPr>
      <w:r>
        <w:rPr>
          <w:lang w:val="nl-NL"/>
        </w:rPr>
        <w:t>Het metalen pijpwerk is geleverd door de firma Chwatal te Merseburg. De Gedakt 16' HW begint nu bij dis</w:t>
      </w:r>
      <w:r>
        <w:rPr>
          <w:vertAlign w:val="superscript"/>
          <w:lang w:val="nl-NL"/>
        </w:rPr>
        <w:t>1</w:t>
      </w:r>
      <w:r>
        <w:rPr>
          <w:lang w:val="nl-NL"/>
        </w:rPr>
        <w:t>. Van de pijpen van dit register die nu op het Ped speelbaar zijn, zijn C-h van grenen en c</w:t>
      </w:r>
      <w:r>
        <w:rPr>
          <w:vertAlign w:val="superscript"/>
          <w:lang w:val="nl-NL"/>
        </w:rPr>
        <w:t>1</w:t>
      </w:r>
      <w:r>
        <w:rPr>
          <w:lang w:val="nl-NL"/>
        </w:rPr>
        <w:t>-d</w:t>
      </w:r>
      <w:r>
        <w:rPr>
          <w:vertAlign w:val="superscript"/>
          <w:lang w:val="nl-NL"/>
        </w:rPr>
        <w:t>1</w:t>
      </w:r>
      <w:r>
        <w:rPr>
          <w:lang w:val="nl-NL"/>
        </w:rPr>
        <w:t xml:space="preserve"> van metaal. De Roerfluit 4' is vanaf c</w:t>
      </w:r>
      <w:r>
        <w:rPr>
          <w:vertAlign w:val="superscript"/>
          <w:lang w:val="nl-NL"/>
        </w:rPr>
        <w:t>2</w:t>
      </w:r>
      <w:r>
        <w:rPr>
          <w:lang w:val="nl-NL"/>
        </w:rPr>
        <w:t xml:space="preserve"> open, conisch. De Gemshoorn 2' is conisch.</w:t>
      </w:r>
    </w:p>
    <w:p>
      <w:pPr>
        <w:pStyle w:val="T1"/>
        <w:jc w:val="start"/>
        <w:rPr/>
      </w:pPr>
      <w:r>
        <w:rPr>
          <w:lang w:val="nl-NL"/>
        </w:rPr>
        <w:t>Bij de prestantregisters zijn geen expressions toegepast; de grotere binnenpijpen zijn voorzien van een kleine stemkrul, vanaf de bovenzijde ingesneden. Bij de Salicionaal en Viola di Gamba van het BW zijn expressions toegepast tot en met 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Bijschrift">
    <w:name w:val="Bijschrift"/>
    <w:basedOn w:val="Normal"/>
    <w:qFormat/>
    <w:pPr>
      <w:suppressLineNumbers/>
      <w:spacing w:before="120" w:after="120"/>
    </w:pPr>
    <w:rPr>
      <w:rFonts w:cs="Tahoma"/>
      <w:i/>
      <w:iCs/>
      <w:sz w:val="20"/>
      <w:szCs w:val="20"/>
    </w:rPr>
  </w:style>
  <w:style w:type="paragraph" w:styleId="Kop">
    <w:name w:val="Kop"/>
    <w:basedOn w:val="Normal"/>
    <w:next w:val="TextBody"/>
    <w:qFormat/>
    <w:pPr>
      <w:keepNext w:val="true"/>
      <w:spacing w:before="240" w:after="120"/>
    </w:pPr>
    <w:rPr>
      <w:rFonts w:ascii="Arial" w:hAnsi="Arial" w:eastAsia="Lucida Sans Unicode"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2006-04-25T12:24:00Z</dcterms:created>
  <dc:creator>WS1</dc:creator>
  <dc:description/>
  <dc:language>en-US</dc:language>
  <cp:lastModifiedBy>WS1</cp:lastModifiedBy>
  <dcterms:modified xsi:type="dcterms:W3CDTF">2006-04-25T12:24:00Z</dcterms:modified>
  <cp:revision>2</cp:revision>
  <dc:subject/>
  <dc:title>Pingjum / 1878</dc:title>
</cp:coreProperties>
</file>