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Tzummarum / 1878</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lang w:val="nl-NL"/>
        </w:rPr>
      </w:pPr>
      <w:r>
        <w:rPr>
          <w:i/>
          <w:iCs/>
          <w:lang w:val="nl-NL"/>
        </w:rPr>
        <w:t>Neogotische kruiskerk, gebouwd in 1876 naar ontwerp van H.R. Stoet tegen de 16e-eeuwse toren van de vorige kerk. In 1951 gemoderniseerd. Inrichting uit de bouwtijd.</w:t>
      </w:r>
    </w:p>
    <w:p>
      <w:pPr>
        <w:pStyle w:val="T1"/>
        <w:jc w:val="start"/>
        <w:rPr>
          <w:lang w:val="nl-NL"/>
        </w:rPr>
      </w:pPr>
      <w:r>
        <w:rPr>
          <w:lang w:val="nl-NL"/>
        </w:rPr>
      </w:r>
    </w:p>
    <w:p>
      <w:pPr>
        <w:pStyle w:val="T1"/>
        <w:jc w:val="start"/>
        <w:rPr>
          <w:lang w:val="nl-NL"/>
        </w:rPr>
      </w:pPr>
      <w:r>
        <w:rPr>
          <w:lang w:val="nl-NL"/>
        </w:rPr>
        <w:t>Kas: 1878</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orgel met een voor de Van Dams ongebruikelijk neogotisch front, afkomstig van architect F.H. Stoet, de ontwerper van kerk en interieur. Het is in feite een vrij traditioneel fronttype dat in gotische vormen is vertaald. De Van Dams vervaardigden in deze tijd vrijwel geen orgels met een dergelijke opbouw; alleen het orgel in Eernewoude (1874, deel 1872-1878, 137-139) zou hier kunnen worden genoemd. Wij zien een vijfdelig front met drie ronde torens, die door hun basementen en kappen trapeziumvormig werken, en tweedelige holle tussenvelden. Oorspronkelijk stond het orgel boven de preekstoel, wat de vorm van de onderkas mede verklaart.</w:t>
      </w:r>
    </w:p>
    <w:p>
      <w:pPr>
        <w:pStyle w:val="T2Kunst"/>
        <w:jc w:val="start"/>
        <w:rPr>
          <w:lang w:val="nl-NL"/>
        </w:rPr>
      </w:pPr>
      <w:r>
        <w:rPr>
          <w:lang w:val="nl-NL"/>
        </w:rPr>
        <w:t>De gotische detaillering is goeddeels flamboyant en draagt nog sterk het karakter van de decoratieve neogotiek.</w:t>
      </w:r>
    </w:p>
    <w:p>
      <w:pPr>
        <w:pStyle w:val="T2Kunst"/>
        <w:jc w:val="start"/>
        <w:rPr>
          <w:lang w:val="nl-NL"/>
        </w:rPr>
      </w:pPr>
      <w:r>
        <w:rPr>
          <w:lang w:val="nl-NL"/>
        </w:rPr>
        <w:t>Aan de pijpvoeten in de torens zijn tootlijsten aangebracht; onder in de benedenvelden ook, maar veel bescheidener. Aan de pijpuiteinden in de torens zijn drie tootbogen te zien. De kappen vertonen rechthoekige inkassingen. Opmerkelijk zijn de torenbekroningen: opzetstukken met kleine pinakels, geflankeerd door twee grotere pinakels. De gebogen tussenlijsten in de velden zijn voorzien van een reeks opengewerkte driehoeken. Aan de pijpuiteinden in de velden zijn bepaald niet gotische voluten aangebracht. De vleugelstukken bestaan uit twee delen: boven een smalle inzwenkende lijst met hogels, in de opening twee visblazen en beneden een rechthoekig gedeelte dat is opengewerkt met twee rozetten met drie wentelende visblazen, een uitgesproken flamboyant motief. De vlakke panelen met simpel driepasboogje zijn met hun vlakke vormen typerend voor een gotiek-interpretatie die nog sterk door het neoclassicisme is bepaald.</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Jan Jongepier, </w:t>
      </w:r>
      <w:r>
        <w:rPr>
          <w:i/>
          <w:iCs/>
          <w:lang w:val="nl-NL"/>
        </w:rPr>
        <w:t>Vijf eeuwen Friese orgelbouw</w:t>
      </w:r>
      <w:r>
        <w:rPr>
          <w:lang w:val="nl-NL"/>
        </w:rPr>
        <w:t>. Leeuwarden, 2004, 104, 211.</w:t>
      </w:r>
    </w:p>
    <w:p>
      <w:pPr>
        <w:pStyle w:val="T3Lit"/>
        <w:jc w:val="start"/>
        <w:rPr/>
      </w:pPr>
      <w:r>
        <w:rPr>
          <w:i/>
          <w:iCs/>
          <w:lang w:val="nl-NL"/>
        </w:rPr>
        <w:t>Kerkelijke Courant</w:t>
      </w:r>
      <w:r>
        <w:rPr>
          <w:lang w:val="nl-NL"/>
        </w:rPr>
        <w:t>, 32/20 (1878).</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pPr>
      <w:r>
        <w:rPr>
          <w:lang w:val="nl-NL"/>
        </w:rPr>
        <w:t xml:space="preserve">A. Bouman, </w:t>
      </w:r>
      <w:r>
        <w:rPr>
          <w:i/>
          <w:iCs/>
          <w:lang w:val="nl-NL"/>
        </w:rPr>
        <w:t>Dispositiecahier VI</w:t>
      </w:r>
      <w:r>
        <w:rPr>
          <w:lang w:val="nl-NL"/>
        </w:rPr>
        <w:t>.</w:t>
      </w:r>
    </w:p>
    <w:p>
      <w:pPr>
        <w:pStyle w:val="T3Lit"/>
        <w:jc w:val="start"/>
        <w:rPr>
          <w:lang w:val="nl-NL"/>
        </w:rPr>
      </w:pPr>
      <w:r>
        <w:rPr>
          <w:lang w:val="nl-NL"/>
        </w:rPr>
        <w:t>Archief Flentrop Orgelbouw.</w:t>
      </w:r>
    </w:p>
    <w:p>
      <w:pPr>
        <w:pStyle w:val="T3Lit"/>
        <w:jc w:val="start"/>
        <w:rPr/>
      </w:pPr>
      <w:r>
        <w:rPr>
          <w:lang w:val="nl-NL"/>
        </w:rPr>
        <w:t xml:space="preserve">Jan Jongepier, </w:t>
      </w:r>
      <w:r>
        <w:rPr>
          <w:i/>
          <w:iCs/>
          <w:lang w:val="nl-NL"/>
        </w:rPr>
        <w:t>Rapport over het orgel in de Hervormde kerk te Tzummarum</w:t>
      </w:r>
      <w:r>
        <w:rPr>
          <w:lang w:val="nl-NL"/>
        </w:rPr>
        <w:t>. Z.p. [Leeuwarden], 1976.</w:t>
      </w:r>
    </w:p>
    <w:p>
      <w:pPr>
        <w:pStyle w:val="T3Lit"/>
        <w:jc w:val="start"/>
        <w:rPr>
          <w:lang w:val="nl-NL"/>
        </w:rPr>
      </w:pPr>
      <w:r>
        <w:rPr>
          <w:lang w:val="nl-NL"/>
        </w:rPr>
      </w:r>
    </w:p>
    <w:p>
      <w:pPr>
        <w:pStyle w:val="T3Lit"/>
        <w:jc w:val="start"/>
        <w:rPr>
          <w:lang w:val="nl-NL"/>
        </w:rPr>
      </w:pPr>
      <w:r>
        <w:rPr>
          <w:lang w:val="nl-NL"/>
        </w:rPr>
        <w:t>Orgelnummer 1485</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van Dam en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1878</w:t>
      </w:r>
    </w:p>
    <w:p>
      <w:pPr>
        <w:pStyle w:val="T1"/>
        <w:jc w:val="start"/>
        <w:rPr>
          <w:lang w:val="nl-NL"/>
        </w:rPr>
      </w:pPr>
      <w:r>
        <w:rPr>
          <w:lang w:val="nl-NL"/>
        </w:rPr>
      </w:r>
    </w:p>
    <w:p>
      <w:pPr>
        <w:pStyle w:val="T1"/>
        <w:jc w:val="start"/>
        <w:rPr>
          <w:lang w:val="nl-NL"/>
        </w:rPr>
      </w:pPr>
      <w:r>
        <w:rPr>
          <w:lang w:val="nl-NL"/>
        </w:rPr>
        <w:t>Orgelmakerij Bakker &amp; Timmenga 1951</w:t>
      </w:r>
    </w:p>
    <w:p>
      <w:pPr>
        <w:pStyle w:val="T1"/>
        <w:jc w:val="start"/>
        <w:rPr>
          <w:lang w:val="nl-NL"/>
        </w:rPr>
      </w:pPr>
      <w:r>
        <w:rPr>
          <w:lang w:val="nl-NL"/>
        </w:rPr>
        <w:t>.</w:t>
        <w:tab/>
        <w:t>orgel binnen kerkgebouw verplaatst</w:t>
      </w:r>
    </w:p>
    <w:p>
      <w:pPr>
        <w:pStyle w:val="T1"/>
        <w:jc w:val="start"/>
        <w:rPr>
          <w:lang w:val="nl-NL"/>
        </w:rPr>
      </w:pPr>
      <w:r>
        <w:rPr>
          <w:lang w:val="nl-NL"/>
        </w:rPr>
      </w:r>
    </w:p>
    <w:p>
      <w:pPr>
        <w:pStyle w:val="T1"/>
        <w:jc w:val="start"/>
        <w:rPr>
          <w:lang w:val="nl-NL"/>
        </w:rPr>
      </w:pPr>
      <w:r>
        <w:rPr>
          <w:lang w:val="nl-NL"/>
        </w:rPr>
        <w:t>Jos. Vermeulen 1978</w:t>
      </w:r>
    </w:p>
    <w:p>
      <w:pPr>
        <w:pStyle w:val="T1"/>
        <w:jc w:val="start"/>
        <w:rPr>
          <w:lang w:val="nl-NL"/>
        </w:rPr>
      </w:pPr>
      <w:r>
        <w:rPr>
          <w:lang w:val="nl-NL"/>
        </w:rPr>
        <w:t>.</w:t>
        <w:tab/>
        <w:t>restauratie</w:t>
      </w:r>
    </w:p>
    <w:p>
      <w:pPr>
        <w:pStyle w:val="T1"/>
        <w:jc w:val="start"/>
        <w:rPr>
          <w:lang w:val="nl-NL"/>
        </w:rPr>
      </w:pPr>
      <w:r>
        <w:rPr>
          <w:lang w:val="nl-NL"/>
        </w:rPr>
        <w:t>.</w:t>
        <w:tab/>
        <w:t>windladen gerestaureerd</w:t>
      </w:r>
    </w:p>
    <w:p>
      <w:pPr>
        <w:pStyle w:val="T1"/>
        <w:jc w:val="start"/>
        <w:rPr>
          <w:lang w:val="nl-NL"/>
        </w:rPr>
      </w:pPr>
      <w:r>
        <w:rPr>
          <w:lang w:val="nl-NL"/>
        </w:rPr>
        <w:t>.</w:t>
        <w:tab/>
        <w:t>klaviatuur, mechanieken, windvoorziening en houten pijpen hersteld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aangehangen pedaal</w:t>
      </w:r>
    </w:p>
    <w:p>
      <w:pPr>
        <w:pStyle w:val="T1"/>
        <w:jc w:val="start"/>
        <w:rPr>
          <w:lang w:val="nl-NL"/>
        </w:rPr>
      </w:pPr>
      <w:r>
        <w:rPr>
          <w:lang w:val="nl-NL"/>
        </w:rPr>
      </w:r>
    </w:p>
    <w:p>
      <w:pPr>
        <w:pStyle w:val="T1"/>
        <w:jc w:val="start"/>
        <w:rPr/>
      </w:pPr>
      <w:r>
        <w:rPr/>
        <w:t>Dispositie</w:t>
      </w:r>
    </w:p>
    <w:tbl>
      <w:tblPr>
        <w:tblW w:w="4576" w:type="dxa"/>
        <w:jc w:val="start"/>
        <w:tblInd w:w="0" w:type="dxa"/>
        <w:tblLayout w:type="fixed"/>
        <w:tblCellMar>
          <w:top w:w="0" w:type="dxa"/>
          <w:start w:w="70" w:type="dxa"/>
          <w:bottom w:w="0" w:type="dxa"/>
          <w:end w:w="70" w:type="dxa"/>
        </w:tblCellMar>
      </w:tblPr>
      <w:tblGrid>
        <w:gridCol w:w="1600"/>
        <w:gridCol w:w="643"/>
        <w:gridCol w:w="1690"/>
        <w:gridCol w:w="643"/>
      </w:tblGrid>
      <w:tr>
        <w:trPr/>
        <w:tc>
          <w:tcPr>
            <w:tcW w:w="160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Violon D</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Quintprestant</w:t>
            </w:r>
          </w:p>
          <w:p>
            <w:pPr>
              <w:pStyle w:val="T4dispositie"/>
              <w:jc w:val="start"/>
              <w:rPr>
                <w:lang w:val="nl-NL"/>
              </w:rPr>
            </w:pPr>
            <w:r>
              <w:rPr>
                <w:lang w:val="nl-NL"/>
              </w:rPr>
              <w:t>Octaaf</w:t>
            </w:r>
          </w:p>
          <w:p>
            <w:pPr>
              <w:pStyle w:val="T4dispositie"/>
              <w:jc w:val="start"/>
              <w:rPr>
                <w:lang w:val="nl-NL"/>
              </w:rPr>
            </w:pPr>
            <w:r>
              <w:rPr>
                <w:lang w:val="nl-NL"/>
              </w:rPr>
              <w:t>Cornet D</w:t>
            </w:r>
          </w:p>
          <w:p>
            <w:pPr>
              <w:pStyle w:val="T4dispositie"/>
              <w:jc w:val="start"/>
              <w:rPr>
                <w:lang w:val="nl-NL"/>
              </w:rPr>
            </w:pPr>
            <w:r>
              <w:rPr>
                <w:lang w:val="nl-NL"/>
              </w:rPr>
              <w:t>Trompet B/D</w:t>
            </w:r>
          </w:p>
        </w:tc>
        <w:tc>
          <w:tcPr>
            <w:tcW w:w="643"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4 st.</w:t>
            </w:r>
          </w:p>
          <w:p>
            <w:pPr>
              <w:pStyle w:val="T4dispositie"/>
              <w:jc w:val="start"/>
              <w:rPr>
                <w:lang w:val="nl-NL"/>
              </w:rPr>
            </w:pPr>
            <w:r>
              <w:rPr>
                <w:lang w:val="nl-NL"/>
              </w:rPr>
              <w:t>8'</w:t>
            </w:r>
          </w:p>
        </w:tc>
        <w:tc>
          <w:tcPr>
            <w:tcW w:w="1690" w:type="dxa"/>
            <w:tcBorders/>
          </w:tcPr>
          <w:p>
            <w:pPr>
              <w:pStyle w:val="T4dispositie"/>
              <w:jc w:val="start"/>
              <w:rPr>
                <w:i/>
                <w:i/>
                <w:iCs/>
                <w:lang w:val="nl-NL"/>
              </w:rPr>
            </w:pPr>
            <w:r>
              <w:rPr>
                <w:i/>
                <w:iCs/>
                <w:lang w:val="nl-NL"/>
              </w:rPr>
              <w:t>Bovenwerk (II)</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Roerfluit</w:t>
            </w:r>
          </w:p>
          <w:p>
            <w:pPr>
              <w:pStyle w:val="T4dispositie"/>
              <w:jc w:val="start"/>
              <w:rPr>
                <w:lang w:val="nl-NL"/>
              </w:rPr>
            </w:pPr>
            <w:r>
              <w:rPr>
                <w:lang w:val="nl-NL"/>
              </w:rPr>
              <w:t>Salicionaal</w:t>
            </w:r>
          </w:p>
          <w:p>
            <w:pPr>
              <w:pStyle w:val="T4dispositie"/>
              <w:jc w:val="start"/>
              <w:rPr>
                <w:lang w:val="nl-NL"/>
              </w:rPr>
            </w:pPr>
            <w:r>
              <w:rPr>
                <w:lang w:val="nl-NL"/>
              </w:rPr>
              <w:t>Viool de Gambe</w:t>
            </w:r>
          </w:p>
          <w:p>
            <w:pPr>
              <w:pStyle w:val="T4dispositie"/>
              <w:jc w:val="start"/>
              <w:rPr>
                <w:lang w:val="nl-NL"/>
              </w:rPr>
            </w:pPr>
            <w:r>
              <w:rPr>
                <w:lang w:val="nl-NL"/>
              </w:rPr>
              <w:t>Salicet</w:t>
            </w:r>
          </w:p>
          <w:p>
            <w:pPr>
              <w:pStyle w:val="T4dispositie"/>
              <w:jc w:val="start"/>
              <w:rPr>
                <w:lang w:val="nl-NL"/>
              </w:rPr>
            </w:pPr>
            <w:r>
              <w:rPr>
                <w:lang w:val="nl-NL"/>
              </w:rPr>
              <w:t>Fluit travers</w:t>
            </w:r>
          </w:p>
          <w:p>
            <w:pPr>
              <w:pStyle w:val="T4dispositie"/>
              <w:jc w:val="start"/>
              <w:rPr>
                <w:lang w:val="nl-NL"/>
              </w:rPr>
            </w:pPr>
            <w:r>
              <w:rPr>
                <w:lang w:val="nl-NL"/>
              </w:rPr>
              <w:t>Gemshoorn</w:t>
            </w:r>
          </w:p>
        </w:tc>
        <w:tc>
          <w:tcPr>
            <w:tcW w:w="643"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manuaalkoppel</w:t>
      </w:r>
    </w:p>
    <w:p>
      <w:pPr>
        <w:pStyle w:val="T1"/>
        <w:jc w:val="start"/>
        <w:rPr>
          <w:lang w:val="nl-NL"/>
        </w:rPr>
      </w:pPr>
      <w:r>
        <w:rPr>
          <w:lang w:val="nl-NL"/>
        </w:rPr>
        <w:t>afsluitingen HW, BW</w:t>
      </w:r>
    </w:p>
    <w:p>
      <w:pPr>
        <w:pStyle w:val="T1"/>
        <w:jc w:val="start"/>
        <w:rPr>
          <w:lang w:val="nl-NL"/>
        </w:rPr>
      </w:pPr>
      <w:r>
        <w:rPr>
          <w:lang w:val="nl-NL"/>
        </w:rPr>
        <w:t>tremulant BW</w:t>
      </w:r>
    </w:p>
    <w:p>
      <w:pPr>
        <w:pStyle w:val="T1"/>
        <w:jc w:val="start"/>
        <w:rPr>
          <w:lang w:val="nl-NL"/>
        </w:rPr>
      </w:pPr>
      <w:r>
        <w:rPr>
          <w:lang w:val="nl-NL"/>
        </w:rPr>
        <w:t>windloser</w:t>
      </w:r>
    </w:p>
    <w:p>
      <w:pPr>
        <w:pStyle w:val="T1"/>
        <w:jc w:val="start"/>
        <w:rPr>
          <w:lang w:val="nl-NL"/>
        </w:rPr>
      </w:pPr>
      <w:r>
        <w:rPr>
          <w:lang w:val="nl-NL"/>
        </w:rPr>
        <w:t>muet</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pPr>
      <w:r>
        <w:rPr>
          <w:lang w:val="nl-NL"/>
        </w:rPr>
        <w:t xml:space="preserve">Cornet   </w:t>
      </w:r>
      <w:r>
        <w:rPr>
          <w:sz w:val="20"/>
          <w:lang w:val="nl-NL"/>
        </w:rPr>
        <w:t>c</w:t>
      </w:r>
      <w:r>
        <w:rPr>
          <w:sz w:val="20"/>
          <w:vertAlign w:val="superscript"/>
          <w:lang w:val="nl-NL"/>
        </w:rPr>
        <w:t>1</w:t>
      </w:r>
      <w:r>
        <w:rPr>
          <w:sz w:val="20"/>
          <w:lang w:val="nl-NL"/>
        </w:rPr>
        <w:t xml:space="preserve">   4 – 2 2/3 – 2 – 1 3/5</w:t>
      </w:r>
    </w:p>
    <w:p>
      <w:pPr>
        <w:pStyle w:val="T1"/>
        <w:jc w:val="start"/>
        <w:rPr>
          <w:sz w:val="20"/>
          <w:lang w:val="nl-NL"/>
        </w:rPr>
      </w:pPr>
      <w:r>
        <w:rPr>
          <w:sz w:val="20"/>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(1878)</w:t>
      </w:r>
    </w:p>
    <w:p>
      <w:pPr>
        <w:pStyle w:val="T1"/>
        <w:jc w:val="start"/>
        <w:rPr>
          <w:lang w:val="nl-NL"/>
        </w:rPr>
      </w:pPr>
      <w:r>
        <w:rPr>
          <w:lang w:val="nl-NL"/>
        </w:rPr>
        <w:t>Winddruk</w:t>
      </w:r>
    </w:p>
    <w:p>
      <w:pPr>
        <w:pStyle w:val="T1"/>
        <w:jc w:val="start"/>
        <w:rPr>
          <w:lang w:val="nl-NL"/>
        </w:rPr>
      </w:pPr>
      <w:r>
        <w:rPr>
          <w:lang w:val="nl-NL"/>
        </w:rPr>
        <w:t xml:space="preserve">   </w:t>
      </w:r>
      <w:r>
        <w:rPr>
          <w:lang w:val="nl-NL"/>
        </w:rPr>
        <w:t>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Het kerkinterieur werd in 1951 verbouwd waarbij een nieuw plafond werd aangebracht. In 1878 was het orgel aan de oostwand geplaatst, boven de kansel. Orgelfront en kansel waren als één geheel ontworpen. Vanwege het nieuwe verlaagde plafond werd het orgel naar de torenzijde verplaatst, waardoor de relatie tussen orgel en kansel werd verbroken.</w:t>
      </w:r>
    </w:p>
    <w:p>
      <w:pPr>
        <w:pStyle w:val="T1"/>
        <w:jc w:val="start"/>
        <w:rPr/>
      </w:pPr>
      <w:r>
        <w:rPr>
          <w:lang w:val="nl-NL"/>
        </w:rPr>
        <w:t>In het front spreken pijpen van de Prestant 8' HW (C-cis</w:t>
      </w:r>
      <w:r>
        <w:rPr>
          <w:vertAlign w:val="superscript"/>
          <w:lang w:val="nl-NL"/>
        </w:rPr>
        <w:t>2</w:t>
      </w:r>
      <w:r>
        <w:rPr>
          <w:lang w:val="nl-NL"/>
        </w:rPr>
        <w:t>, middentoren, zijtoren rechts, onderste tussenvelden) en Salicionaal 8' BW (Fis-cis</w:t>
      </w:r>
      <w:r>
        <w:rPr>
          <w:vertAlign w:val="superscript"/>
          <w:lang w:val="nl-NL"/>
        </w:rPr>
        <w:t>1</w:t>
      </w:r>
      <w:r>
        <w:rPr>
          <w:lang w:val="nl-NL"/>
        </w:rPr>
        <w:t>, zijtoren links en bovenste tussenvelden aan beide zijden de grootste acht pijpen).</w:t>
      </w:r>
    </w:p>
    <w:p>
      <w:pPr>
        <w:pStyle w:val="T1"/>
        <w:jc w:val="start"/>
        <w:rPr>
          <w:lang w:val="nl-NL"/>
        </w:rPr>
      </w:pPr>
      <w:r>
        <w:rPr>
          <w:lang w:val="nl-NL"/>
        </w:rPr>
        <w:t>Het windtoestel is in de onderkas geplaatst.</w:t>
      </w:r>
    </w:p>
    <w:p>
      <w:pPr>
        <w:pStyle w:val="T1"/>
        <w:jc w:val="start"/>
        <w:rPr/>
      </w:pPr>
      <w:r>
        <w:rPr>
          <w:lang w:val="nl-NL"/>
        </w:rPr>
        <w:t>De windladen zijn van eiken, inclusief stokken en roosters, en voorzien van opliggende voorslagen. De cancelvolgorde van de HW-lade is chromatisch: C-e / g</w:t>
      </w:r>
      <w:r>
        <w:rPr>
          <w:vertAlign w:val="superscript"/>
          <w:lang w:val="nl-NL"/>
        </w:rPr>
        <w:t>3</w:t>
      </w:r>
      <w:r>
        <w:rPr>
          <w:lang w:val="nl-NL"/>
        </w:rPr>
        <w:t>-f (klaviatuurzijde). De cancelvolgorde van de BW-lade is in hele tonen met C in het midden.</w:t>
      </w:r>
    </w:p>
    <w:p>
      <w:pPr>
        <w:pStyle w:val="T1"/>
        <w:jc w:val="start"/>
        <w:rPr>
          <w:lang w:val="nl-NL"/>
        </w:rPr>
      </w:pPr>
      <w:r>
        <w:rPr>
          <w:lang w:val="nl-NL"/>
        </w:rPr>
        <w:t>Eiken pijpen bevinden zich in de Bourdon 16' (C-dis), Holpijp 8' (C-H) en Roerfluit 8' (C-H).</w:t>
      </w:r>
    </w:p>
    <w:p>
      <w:pPr>
        <w:pStyle w:val="T1"/>
        <w:jc w:val="start"/>
        <w:rPr/>
      </w:pPr>
      <w:r>
        <w:rPr>
          <w:lang w:val="nl-NL"/>
        </w:rPr>
        <w:t>Het hoogste octaaf van de Roerfluit 4' is open, conisch. Van het vier-voets koor van de Cornet is c</w:t>
      </w:r>
      <w:r>
        <w:rPr>
          <w:vertAlign w:val="superscript"/>
          <w:lang w:val="nl-NL"/>
        </w:rPr>
        <w:t>1</w:t>
      </w:r>
      <w:r>
        <w:rPr>
          <w:lang w:val="nl-NL"/>
        </w:rPr>
        <w:t>-h</w:t>
      </w:r>
      <w:r>
        <w:rPr>
          <w:vertAlign w:val="superscript"/>
          <w:lang w:val="nl-NL"/>
        </w:rPr>
        <w:t>1</w:t>
      </w:r>
      <w:r>
        <w:rPr>
          <w:lang w:val="nl-NL"/>
        </w:rPr>
        <w:t xml:space="preserve"> gedekt. Er is voor het basgedeelte van de Cornet ook een rooster aanwezig, waarop de plaats van twee koren is aangeduid. De Salicionaal 8' begint op F, Fis-cis</w:t>
      </w:r>
      <w:r>
        <w:rPr>
          <w:vertAlign w:val="superscript"/>
          <w:lang w:val="nl-NL"/>
        </w:rPr>
        <w:t>1</w:t>
      </w:r>
      <w:r>
        <w:rPr>
          <w:lang w:val="nl-NL"/>
        </w:rPr>
        <w:t xml:space="preserve"> staan in het front, het vervolg staat op de lade. De Viool de Gambe 8' is in het groot octaaf gecombineerd met de Roerfluit. De Fluit travers 4' is gedekt van C-e, het vervolg is open. De Gemshoorn 2' is conisch. Op de BW-lade is nog een gereserveerde sleep voor een tongwerk aanwezig.</w:t>
      </w:r>
    </w:p>
    <w:p>
      <w:pPr>
        <w:pStyle w:val="T1"/>
        <w:jc w:val="start"/>
        <w:rPr>
          <w:lang w:val="nl-NL"/>
        </w:rPr>
      </w:pPr>
      <w:r>
        <w:rPr>
          <w:lang w:val="nl-NL"/>
        </w:rPr>
        <w:t>De Trompet 8' heeft mahonie stevels en koppen. De tonen C-f hebben mahonie kelen, die met de koppen één geheel vormen. De overige kelen zijn van messing.</w:t>
      </w:r>
    </w:p>
    <w:p>
      <w:pPr>
        <w:pStyle w:val="T1"/>
        <w:jc w:val="start"/>
        <w:rPr/>
      </w:pPr>
      <w:r>
        <w:rPr>
          <w:lang w:val="nl-NL"/>
        </w:rPr>
        <w:t>Expressions als steminrichting komen voor bij alle binnenpijpen van de vier open acht-voets registers. Voorts bij de Octaaf 4' (C-h), de Quintprestant 3' (C-e), de Octaaf 2' (C-H), de Fluit travers 4' (f-e</w:t>
      </w:r>
      <w:r>
        <w:rPr>
          <w:vertAlign w:val="superscript"/>
          <w:lang w:val="nl-NL"/>
        </w:rPr>
        <w:t>1</w:t>
      </w:r>
      <w:r>
        <w:rPr>
          <w:lang w:val="nl-NL"/>
        </w:rPr>
        <w:t>) en het merendeel van de pijpen van de Salicet 4'.</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Standaardalinealettertype">
    <w:name w:val="WW-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Bijschrift">
    <w:name w:val="Bijschrift"/>
    <w:basedOn w:val="Normal"/>
    <w:qFormat/>
    <w:pPr>
      <w:suppressLineNumbers/>
      <w:spacing w:before="120" w:after="120"/>
    </w:pPr>
    <w:rPr>
      <w:rFonts w:cs="Tahoma"/>
      <w:i/>
      <w:iCs/>
      <w:sz w:val="20"/>
      <w:szCs w:val="20"/>
    </w:rPr>
  </w:style>
  <w:style w:type="paragraph" w:styleId="Kop">
    <w:name w:val="Kop"/>
    <w:basedOn w:val="Normal"/>
    <w:next w:val="TextBody"/>
    <w:qFormat/>
    <w:pPr>
      <w:keepNext w:val="true"/>
      <w:spacing w:before="240" w:after="120"/>
    </w:pPr>
    <w:rPr>
      <w:rFonts w:ascii="Arial" w:hAnsi="Arial" w:eastAsia="Lucida Sans Unicode"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2">
    <w:name w:val="inhopg 2"/>
    <w:basedOn w:val="Normal"/>
    <w:qFormat/>
    <w:pPr>
      <w:tabs>
        <w:tab w:val="clear" w:pos="708"/>
        <w:tab w:val="right" w:pos="9360" w:leader="dot"/>
      </w:tabs>
      <w:autoSpaceDE w:val="false"/>
      <w:spacing w:lineRule="atLeast" w:line="240"/>
      <w:ind w:start="144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2006-04-25T12:26:00Z</dcterms:created>
  <dc:creator>WS1</dc:creator>
  <dc:description/>
  <dc:language>en-US</dc:language>
  <cp:lastModifiedBy>WS1</cp:lastModifiedBy>
  <dcterms:modified xsi:type="dcterms:W3CDTF">2006-04-25T12:26:00Z</dcterms:modified>
  <cp:revision>2</cp:revision>
  <dc:subject/>
  <dc:title>Tzummarum / 1878</dc:title>
</cp:coreProperties>
</file>