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Uithuizen / 1878</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Kerk op T-vormige plattegrond, die haar huidige vorm heeft gekregen door een vergroting uit 1905 van een in 1866 gebouwde zaalkerk.</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neogotisch front met drie vlakke velden van een zeer verbreid type dat waarschijnlijk in de jaren dertig van de 19e eeuw in Frankrijk is ontstaan en vervolgens op grote schaal is toegepast. Wij hebben hier te maken met de variant met drie wimbergen. Tussen de velden zijn stijlen met inkassingen aangebracht, bekroond door pinakels die bij de laatst restauratie werden gereconstrueerd. Op de bovenlijsten van de wimbergen zijn hogels aangebracht. Op de toppen staan kruisbloemen. Al deze versieringen, die deels zijn gereconstrueerd, zijn wat aan de grove kant.</w:t>
      </w:r>
    </w:p>
    <w:p>
      <w:pPr>
        <w:pStyle w:val="T2Kunst"/>
        <w:jc w:val="start"/>
        <w:rPr>
          <w:lang w:val="nl-NL"/>
        </w:rPr>
      </w:pPr>
      <w:r>
        <w:rPr>
          <w:lang w:val="nl-NL"/>
        </w:rPr>
        <w:t>De pijpvelden hebben de spitsboogvorm. Het middelste veld heeft een labiumverloop in de vorm van een kettinglijn, in de zijvelden liggen de labia in één horizontale lijn.</w:t>
      </w:r>
    </w:p>
    <w:p>
      <w:pPr>
        <w:pStyle w:val="T2Kunst"/>
        <w:jc w:val="start"/>
        <w:rPr>
          <w:lang w:val="nl-NL"/>
        </w:rPr>
      </w:pPr>
      <w:r>
        <w:rPr>
          <w:lang w:val="nl-NL"/>
        </w:rPr>
        <w:t>Snijwerk aan de pijpvoeten ontbreekt. Aan de pijpuiteinden is een enigszins gecompliceerd systeem van toten aangebracht.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Cs/>
          <w:lang w:val="nl-NL"/>
        </w:rPr>
        <w:t xml:space="preserve">A. Bolt, </w:t>
      </w:r>
      <w:r>
        <w:rPr>
          <w:i/>
          <w:lang w:val="nl-NL"/>
        </w:rPr>
        <w:t>150 jaar gereformeerde kerk te Uithuizen</w:t>
      </w:r>
      <w:r>
        <w:rPr>
          <w:iCs/>
          <w:lang w:val="nl-NL"/>
        </w:rPr>
        <w:t>. Uithuizen, 1985, 210-214.</w:t>
      </w:r>
    </w:p>
    <w:p>
      <w:pPr>
        <w:pStyle w:val="T3Lit"/>
        <w:jc w:val="start"/>
        <w:rPr/>
      </w:pPr>
      <w:r>
        <w:rPr>
          <w:i/>
          <w:iCs/>
          <w:lang w:val="nl-NL"/>
        </w:rPr>
        <w:t>Het Groninger Orgelbezit van Adorp tot Zijldijk. 1 Hunsingo</w:t>
      </w:r>
      <w:r>
        <w:rPr>
          <w:lang w:val="nl-NL"/>
        </w:rPr>
        <w:t>. Groningen, 1994, 94-95.</w:t>
      </w:r>
    </w:p>
    <w:p>
      <w:pPr>
        <w:pStyle w:val="T3Lit"/>
        <w:jc w:val="start"/>
        <w:rPr/>
      </w:pPr>
      <w:r>
        <w:rPr>
          <w:iCs/>
          <w:lang w:val="nl-NL"/>
        </w:rPr>
        <w:t xml:space="preserve">Dirk Molenaar, ‘De orgelmakers Walcker, II: Het Walcker-orgel in de Gereformeerde Kerk te Uithuizen’. </w:t>
      </w:r>
      <w:r>
        <w:rPr>
          <w:i/>
          <w:lang w:val="nl-NL"/>
        </w:rPr>
        <w:t>De Orgelvriend</w:t>
      </w:r>
      <w:r>
        <w:rPr>
          <w:iCs/>
          <w:lang w:val="nl-NL"/>
        </w:rPr>
        <w:t xml:space="preserve">, 40/2 (1998), 24-28. </w:t>
      </w:r>
    </w:p>
    <w:p>
      <w:pPr>
        <w:pStyle w:val="T3Lit"/>
        <w:jc w:val="start"/>
        <w:rPr/>
      </w:pPr>
      <w:r>
        <w:rPr>
          <w:i/>
          <w:lang w:val="nl-NL"/>
        </w:rPr>
        <w:t>De Orgelkrant</w:t>
      </w:r>
      <w:r>
        <w:rPr>
          <w:lang w:val="nl-NL"/>
        </w:rPr>
        <w:t>, 2/6 (1997), 29.</w:t>
      </w:r>
    </w:p>
    <w:p>
      <w:pPr>
        <w:pStyle w:val="T3Lit"/>
        <w:jc w:val="start"/>
        <w:rPr/>
      </w:pPr>
      <w:r>
        <w:rPr>
          <w:i/>
          <w:iCs/>
          <w:lang w:val="nl-NL"/>
        </w:rPr>
        <w:t>Programma voor de heringebruikneming na restauratie door Mense Ruiter Orgelmakers van het Walcker Orgel in de Gereformeerde Kerk te Uithuizen.</w:t>
      </w:r>
      <w:r>
        <w:rPr>
          <w:lang w:val="nl-NL"/>
        </w:rPr>
        <w:t xml:space="preserve"> Uithuizen, 1997.</w:t>
      </w:r>
    </w:p>
    <w:p>
      <w:pPr>
        <w:pStyle w:val="T3Lit"/>
        <w:jc w:val="start"/>
        <w:rPr/>
      </w:pPr>
      <w:r>
        <w:rPr>
          <w:iCs/>
          <w:lang w:val="nl-NL"/>
        </w:rPr>
        <w:t xml:space="preserve">Sicco Steendam, ‘Derk Mulder – een beeldverhaal’. </w:t>
      </w:r>
      <w:r>
        <w:rPr>
          <w:i/>
          <w:lang w:val="nl-NL"/>
        </w:rPr>
        <w:t>De Mixtuur</w:t>
      </w:r>
      <w:r>
        <w:rPr>
          <w:lang w:val="nl-NL"/>
        </w:rPr>
        <w:t>, 57 (1987), 302-304.</w:t>
      </w:r>
    </w:p>
    <w:p>
      <w:pPr>
        <w:pStyle w:val="T3Lit"/>
        <w:jc w:val="start"/>
        <w:rPr>
          <w:lang w:val="nl-NL"/>
        </w:rPr>
      </w:pPr>
      <w:r>
        <w:rPr>
          <w:lang w:val="nl-NL"/>
        </w:rPr>
      </w:r>
    </w:p>
    <w:p>
      <w:pPr>
        <w:pStyle w:val="T3Lit"/>
        <w:jc w:val="start"/>
        <w:rPr>
          <w:lang w:val="nl-NL"/>
        </w:rPr>
      </w:pPr>
      <w:r>
        <w:rPr>
          <w:lang w:val="nl-NL"/>
        </w:rPr>
        <w:t>Orgelnummer 1977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E.F. Walcker &amp; Cie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Frankfurt am Main, Dom</w:t>
      </w:r>
    </w:p>
    <w:p>
      <w:pPr>
        <w:pStyle w:val="T1"/>
        <w:jc w:val="start"/>
        <w:rPr>
          <w:lang w:val="nl-NL"/>
        </w:rPr>
      </w:pPr>
      <w:r>
        <w:rPr>
          <w:lang w:val="nl-NL"/>
        </w:rPr>
      </w:r>
    </w:p>
    <w:p>
      <w:pPr>
        <w:pStyle w:val="T1"/>
        <w:jc w:val="start"/>
        <w:rPr>
          <w:lang w:val="nl-NL"/>
        </w:rPr>
      </w:pPr>
      <w:r>
        <w:rPr>
          <w:lang w:val="nl-NL"/>
        </w:rPr>
        <w:t>E.F. Walcker &amp; Cie 1891</w:t>
      </w:r>
    </w:p>
    <w:p>
      <w:pPr>
        <w:pStyle w:val="T1"/>
        <w:jc w:val="start"/>
        <w:rPr>
          <w:lang w:val="nl-NL"/>
        </w:rPr>
      </w:pPr>
      <w:r>
        <w:rPr>
          <w:lang w:val="nl-NL"/>
        </w:rPr>
        <w:t>.</w:t>
        <w:tab/>
        <w:t>orgel overgeplaatst naar Bremen, St-Stephanikirche</w:t>
      </w:r>
    </w:p>
    <w:p>
      <w:pPr>
        <w:pStyle w:val="T1"/>
        <w:jc w:val="start"/>
        <w:rPr>
          <w:lang w:val="nl-NL"/>
        </w:rPr>
      </w:pPr>
      <w:r>
        <w:rPr>
          <w:lang w:val="nl-NL"/>
        </w:rPr>
      </w:r>
    </w:p>
    <w:p>
      <w:pPr>
        <w:pStyle w:val="T1"/>
        <w:jc w:val="start"/>
        <w:rPr>
          <w:lang w:val="nl-NL"/>
        </w:rPr>
      </w:pPr>
      <w:r>
        <w:rPr>
          <w:lang w:val="nl-NL"/>
        </w:rPr>
        <w:t>E.F. Walcker &amp; Cie 1907</w:t>
      </w:r>
    </w:p>
    <w:p>
      <w:pPr>
        <w:pStyle w:val="T1"/>
        <w:jc w:val="start"/>
        <w:rPr>
          <w:lang w:val="nl-NL"/>
        </w:rPr>
      </w:pPr>
      <w:r>
        <w:rPr>
          <w:lang w:val="nl-NL"/>
        </w:rPr>
        <w:t>.</w:t>
        <w:tab/>
        <w:t>orgel geplaatst te Uithuizen, Gereformeerde Kerk</w:t>
      </w:r>
    </w:p>
    <w:p>
      <w:pPr>
        <w:pStyle w:val="T1"/>
        <w:jc w:val="start"/>
        <w:rPr>
          <w:lang w:val="nl-NL"/>
        </w:rPr>
      </w:pPr>
      <w:r>
        <w:rPr>
          <w:lang w:val="nl-NL"/>
        </w:rPr>
      </w:r>
    </w:p>
    <w:p>
      <w:pPr>
        <w:pStyle w:val="T1"/>
        <w:jc w:val="start"/>
        <w:rPr>
          <w:lang w:val="nl-NL"/>
        </w:rPr>
      </w:pPr>
      <w:r>
        <w:rPr>
          <w:lang w:val="nl-NL"/>
        </w:rPr>
        <w:t>H. Vegter 1931</w:t>
      </w:r>
    </w:p>
    <w:p>
      <w:pPr>
        <w:pStyle w:val="T1"/>
        <w:jc w:val="start"/>
        <w:rPr>
          <w:lang w:val="nl-NL"/>
        </w:rPr>
      </w:pPr>
      <w:r>
        <w:rPr>
          <w:lang w:val="nl-NL"/>
        </w:rPr>
        <w:t>.</w:t>
        <w:tab/>
        <w:t>nieuwe magazijnbalg geplaatst</w:t>
      </w:r>
    </w:p>
    <w:p>
      <w:pPr>
        <w:pStyle w:val="T1"/>
        <w:jc w:val="start"/>
        <w:rPr>
          <w:lang w:val="nl-NL"/>
        </w:rPr>
      </w:pPr>
      <w:r>
        <w:rPr>
          <w:lang w:val="nl-NL"/>
        </w:rPr>
      </w:r>
    </w:p>
    <w:p>
      <w:pPr>
        <w:pStyle w:val="T1"/>
        <w:jc w:val="start"/>
        <w:rPr>
          <w:lang w:val="nl-NL"/>
        </w:rPr>
      </w:pPr>
      <w:r>
        <w:rPr>
          <w:lang w:val="nl-NL"/>
        </w:rPr>
        <w:t>D. Mulder 1954</w:t>
      </w:r>
    </w:p>
    <w:p>
      <w:pPr>
        <w:pStyle w:val="T1"/>
        <w:jc w:val="start"/>
        <w:rPr>
          <w:lang w:val="nl-NL"/>
        </w:rPr>
      </w:pPr>
      <w:r>
        <w:rPr>
          <w:lang w:val="nl-NL"/>
        </w:rPr>
        <w:t>.</w:t>
        <w:tab/>
        <w:t>orgel hersteld in kader restauratie kerkinterieur</w:t>
      </w:r>
    </w:p>
    <w:p>
      <w:pPr>
        <w:pStyle w:val="T1"/>
        <w:jc w:val="start"/>
        <w:rPr>
          <w:lang w:val="nl-NL"/>
        </w:rPr>
      </w:pPr>
      <w:r>
        <w:rPr>
          <w:lang w:val="nl-NL"/>
        </w:rPr>
        <w:t>.</w:t>
        <w:tab/>
        <w:t>pinakels van de kas verwijderd</w:t>
      </w:r>
    </w:p>
    <w:p>
      <w:pPr>
        <w:pStyle w:val="T1"/>
        <w:jc w:val="start"/>
        <w:rPr>
          <w:lang w:val="nl-NL"/>
        </w:rPr>
      </w:pPr>
      <w:r>
        <w:rPr>
          <w:lang w:val="nl-NL"/>
        </w:rPr>
        <w:t>.</w:t>
        <w:tab/>
        <w:t>balustrade en orgelkas wit geschilderd</w:t>
      </w:r>
    </w:p>
    <w:p>
      <w:pPr>
        <w:pStyle w:val="T1"/>
        <w:jc w:val="start"/>
        <w:rPr>
          <w:lang w:val="nl-NL"/>
        </w:rPr>
      </w:pPr>
      <w:r>
        <w:rPr>
          <w:lang w:val="nl-NL"/>
        </w:rPr>
      </w:r>
    </w:p>
    <w:p>
      <w:pPr>
        <w:pStyle w:val="T1"/>
        <w:jc w:val="start"/>
        <w:rPr>
          <w:lang w:val="nl-NL"/>
        </w:rPr>
      </w:pPr>
      <w:r>
        <w:rPr>
          <w:lang w:val="nl-NL"/>
        </w:rPr>
        <w:t>D. Mulder 1969</w:t>
      </w:r>
    </w:p>
    <w:p>
      <w:pPr>
        <w:pStyle w:val="T1"/>
        <w:jc w:val="start"/>
        <w:rPr>
          <w:lang w:val="nl-NL"/>
        </w:rPr>
      </w:pPr>
      <w:r>
        <w:rPr>
          <w:lang w:val="nl-NL"/>
        </w:rPr>
        <w:t>.</w:t>
        <w:tab/>
        <w:t>kas en mechanieken hersteld</w:t>
      </w:r>
    </w:p>
    <w:p>
      <w:pPr>
        <w:pStyle w:val="T1"/>
        <w:jc w:val="start"/>
        <w:rPr>
          <w:lang w:val="nl-NL"/>
        </w:rPr>
      </w:pPr>
      <w:r>
        <w:rPr>
          <w:lang w:val="nl-NL"/>
        </w:rPr>
      </w:r>
    </w:p>
    <w:p>
      <w:pPr>
        <w:pStyle w:val="T1"/>
        <w:jc w:val="start"/>
        <w:rPr>
          <w:lang w:val="nl-NL"/>
        </w:rPr>
      </w:pPr>
      <w:r>
        <w:rPr>
          <w:lang w:val="nl-NL"/>
        </w:rPr>
        <w:t>S. Steendam 1991</w:t>
      </w:r>
    </w:p>
    <w:p>
      <w:pPr>
        <w:pStyle w:val="T1"/>
        <w:jc w:val="start"/>
        <w:rPr>
          <w:lang w:val="nl-NL"/>
        </w:rPr>
      </w:pPr>
      <w:r>
        <w:rPr>
          <w:lang w:val="nl-NL"/>
        </w:rPr>
        <w:t>.</w:t>
        <w:tab/>
        <w:t>schoonmaak en herstel na kerkrestauratie</w:t>
      </w:r>
    </w:p>
    <w:p>
      <w:pPr>
        <w:pStyle w:val="T1"/>
        <w:jc w:val="start"/>
        <w:rPr>
          <w:lang w:val="nl-NL"/>
        </w:rPr>
      </w:pPr>
      <w:r>
        <w:rPr>
          <w:lang w:val="nl-NL"/>
        </w:rPr>
        <w:t>.</w:t>
        <w:tab/>
        <w:t>toetsen pedaalklavier van nieuwe opdikken voorzien</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winddruk verlaagd</w:t>
      </w:r>
    </w:p>
    <w:p>
      <w:pPr>
        <w:pStyle w:val="T1"/>
        <w:jc w:val="start"/>
        <w:rPr>
          <w:lang w:val="nl-NL"/>
        </w:rPr>
      </w:pPr>
      <w:r>
        <w:rPr>
          <w:lang w:val="nl-NL"/>
        </w:rPr>
      </w:r>
    </w:p>
    <w:p>
      <w:pPr>
        <w:pStyle w:val="T1"/>
        <w:jc w:val="start"/>
        <w:rPr>
          <w:lang w:val="nl-NL"/>
        </w:rPr>
      </w:pPr>
      <w:r>
        <w:rPr>
          <w:lang w:val="nl-NL"/>
        </w:rPr>
        <w:t>Mense Ruiter Orgelmakers 1997</w:t>
      </w:r>
    </w:p>
    <w:p>
      <w:pPr>
        <w:pStyle w:val="T1"/>
        <w:jc w:val="start"/>
        <w:rPr>
          <w:lang w:val="nl-NL"/>
        </w:rPr>
      </w:pPr>
      <w:r>
        <w:rPr>
          <w:lang w:val="nl-NL"/>
        </w:rPr>
        <w:t>.</w:t>
        <w:tab/>
        <w:t>restauratie</w:t>
      </w:r>
    </w:p>
    <w:p>
      <w:pPr>
        <w:pStyle w:val="T1"/>
        <w:numPr>
          <w:ilvl w:val="0"/>
          <w:numId w:val="2"/>
        </w:numPr>
        <w:jc w:val="start"/>
        <w:rPr>
          <w:lang w:val="nl-NL"/>
        </w:rPr>
      </w:pPr>
      <w:r>
        <w:rPr>
          <w:lang w:val="nl-NL"/>
        </w:rPr>
        <w:t>niet originele boardpanelen van de kas in eigen beheer vervangen door grenen exemplaren; pinakels gereconstrueerd</w:t>
      </w:r>
    </w:p>
    <w:p>
      <w:pPr>
        <w:pStyle w:val="T1"/>
        <w:jc w:val="start"/>
        <w:rPr>
          <w:lang w:val="nl-NL"/>
        </w:rPr>
      </w:pPr>
      <w:r>
        <w:rPr>
          <w:lang w:val="nl-NL"/>
        </w:rPr>
        <w:t>.</w:t>
        <w:tab/>
        <w:t>winddruk verhoogd, intonatie gecorrigeerd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819" w:type="dxa"/>
        <w:jc w:val="start"/>
        <w:tblInd w:w="-70" w:type="dxa"/>
        <w:tblLayout w:type="fixed"/>
        <w:tblCellMar>
          <w:top w:w="0" w:type="dxa"/>
          <w:start w:w="70" w:type="dxa"/>
          <w:bottom w:w="0" w:type="dxa"/>
          <w:end w:w="70" w:type="dxa"/>
        </w:tblCellMar>
      </w:tblPr>
      <w:tblGrid>
        <w:gridCol w:w="1600"/>
        <w:gridCol w:w="529"/>
        <w:gridCol w:w="1710"/>
        <w:gridCol w:w="360"/>
        <w:gridCol w:w="1169"/>
        <w:gridCol w:w="451"/>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Principal</w:t>
            </w:r>
          </w:p>
          <w:p>
            <w:pPr>
              <w:pStyle w:val="T4dispositie"/>
              <w:jc w:val="start"/>
              <w:rPr>
                <w:lang w:val="nl-NL"/>
              </w:rPr>
            </w:pPr>
            <w:r>
              <w:rPr>
                <w:lang w:val="nl-NL"/>
              </w:rPr>
              <w:t>Flöte</w:t>
            </w:r>
          </w:p>
          <w:p>
            <w:pPr>
              <w:pStyle w:val="T4dispositie"/>
              <w:jc w:val="start"/>
              <w:rPr>
                <w:lang w:val="nl-NL"/>
              </w:rPr>
            </w:pPr>
            <w:r>
              <w:rPr>
                <w:lang w:val="nl-NL"/>
              </w:rPr>
              <w:t>Viola di Gamba</w:t>
            </w:r>
          </w:p>
          <w:p>
            <w:pPr>
              <w:pStyle w:val="T4dispositie"/>
              <w:jc w:val="start"/>
              <w:rPr>
                <w:lang w:val="nl-NL"/>
              </w:rPr>
            </w:pPr>
            <w:r>
              <w:rPr>
                <w:lang w:val="nl-NL"/>
              </w:rPr>
              <w:t>Octav</w:t>
            </w:r>
          </w:p>
          <w:p>
            <w:pPr>
              <w:pStyle w:val="T4dispositie"/>
              <w:jc w:val="start"/>
              <w:rPr>
                <w:lang w:val="nl-NL"/>
              </w:rPr>
            </w:pPr>
            <w:r>
              <w:rPr>
                <w:lang w:val="nl-NL"/>
              </w:rPr>
              <w:t>Rohr Flöte</w:t>
            </w:r>
          </w:p>
          <w:p>
            <w:pPr>
              <w:pStyle w:val="T4dispositie"/>
              <w:jc w:val="start"/>
              <w:rPr>
                <w:lang w:val="nl-NL"/>
              </w:rPr>
            </w:pPr>
            <w:r>
              <w:rPr>
                <w:lang w:val="nl-NL"/>
              </w:rPr>
              <w:t>Mixtur</w:t>
            </w:r>
          </w:p>
        </w:tc>
        <w:tc>
          <w:tcPr>
            <w:tcW w:w="52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 f.</w:t>
            </w:r>
          </w:p>
        </w:tc>
        <w:tc>
          <w:tcPr>
            <w:tcW w:w="171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Liebl. Gedeckt</w:t>
            </w:r>
          </w:p>
          <w:p>
            <w:pPr>
              <w:pStyle w:val="T4dispositie"/>
              <w:jc w:val="start"/>
              <w:rPr>
                <w:lang w:val="nl-NL"/>
              </w:rPr>
            </w:pPr>
            <w:r>
              <w:rPr>
                <w:lang w:val="nl-NL"/>
              </w:rPr>
              <w:t>Salicional</w:t>
            </w:r>
          </w:p>
          <w:p>
            <w:pPr>
              <w:pStyle w:val="T4dispositie"/>
              <w:jc w:val="start"/>
              <w:rPr>
                <w:lang w:val="nl-NL"/>
              </w:rPr>
            </w:pPr>
            <w:r>
              <w:rPr>
                <w:lang w:val="nl-NL"/>
              </w:rPr>
              <w:t>Flöte</w:t>
            </w:r>
          </w:p>
        </w:tc>
        <w:tc>
          <w:tcPr>
            <w:tcW w:w="3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169"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Subbass</w:t>
            </w:r>
          </w:p>
          <w:p>
            <w:pPr>
              <w:pStyle w:val="T4dispositie"/>
              <w:jc w:val="start"/>
              <w:rPr>
                <w:lang w:val="nl-NL"/>
              </w:rPr>
            </w:pPr>
            <w:r>
              <w:rPr>
                <w:lang w:val="nl-NL"/>
              </w:rPr>
              <w:t>Octavbass</w:t>
            </w:r>
          </w:p>
        </w:tc>
        <w:tc>
          <w:tcPr>
            <w:tcW w:w="45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coppel 1. M.z. Ped., coppel 2. Man. z. Man.</w:t>
      </w:r>
    </w:p>
    <w:p>
      <w:pPr>
        <w:pStyle w:val="T1"/>
        <w:jc w:val="start"/>
        <w:rPr>
          <w:lang w:val="nl-NL"/>
        </w:rPr>
      </w:pPr>
      <w:r>
        <w:rPr>
          <w:lang w:val="nl-NL"/>
        </w:rPr>
        <w:t>tutti trede</w:t>
      </w:r>
    </w:p>
    <w:p>
      <w:pPr>
        <w:pStyle w:val="T1"/>
        <w:jc w:val="start"/>
        <w:rPr>
          <w:lang w:val="nl-NL"/>
        </w:rPr>
      </w:pPr>
      <w:r>
        <w:rPr>
          <w:lang w:val="nl-NL"/>
        </w:rPr>
      </w:r>
    </w:p>
    <w:p>
      <w:pPr>
        <w:pStyle w:val="T1"/>
        <w:jc w:val="start"/>
        <w:rPr>
          <w:lang w:val="nl-NL"/>
        </w:rPr>
      </w:pPr>
      <w:r>
        <w:rPr>
          <w:lang w:val="nl-NL"/>
        </w:rPr>
        <w:t>Samenstelling vulstem</w:t>
      </w:r>
    </w:p>
    <w:tbl>
      <w:tblPr>
        <w:tblW w:w="2188" w:type="dxa"/>
        <w:jc w:val="start"/>
        <w:tblInd w:w="-70" w:type="dxa"/>
        <w:tblLayout w:type="fixed"/>
        <w:tblCellMar>
          <w:top w:w="0" w:type="dxa"/>
          <w:start w:w="70" w:type="dxa"/>
          <w:bottom w:w="0" w:type="dxa"/>
          <w:end w:w="70" w:type="dxa"/>
        </w:tblCellMar>
      </w:tblPr>
      <w:tblGrid>
        <w:gridCol w:w="841"/>
        <w:gridCol w:w="668"/>
        <w:gridCol w:w="679"/>
      </w:tblGrid>
      <w:tr>
        <w:trPr/>
        <w:tc>
          <w:tcPr>
            <w:tcW w:w="841" w:type="dxa"/>
            <w:tcBorders/>
          </w:tcPr>
          <w:p>
            <w:pPr>
              <w:pStyle w:val="T1"/>
              <w:jc w:val="start"/>
              <w:rPr>
                <w:lang w:val="nl-NL"/>
              </w:rPr>
            </w:pPr>
            <w:r>
              <w:rPr>
                <w:lang w:val="nl-NL"/>
              </w:rPr>
              <w:t>Mixtur</w:t>
            </w:r>
          </w:p>
        </w:tc>
        <w:tc>
          <w:tcPr>
            <w:tcW w:w="668"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1</w:t>
            </w:r>
          </w:p>
        </w:tc>
        <w:tc>
          <w:tcPr>
            <w:tcW w:w="679" w:type="dxa"/>
            <w:tcBorders/>
          </w:tcPr>
          <w:p>
            <w:pPr>
              <w:pStyle w:val="T4dispositie"/>
              <w:jc w:val="start"/>
              <w:rPr>
                <w:vertAlign w:val="superscript"/>
                <w:lang w:val="nl-NL"/>
              </w:rPr>
            </w:pPr>
            <w:r>
              <w:rPr>
                <w:lang w:val="nl-NL"/>
              </w:rPr>
              <w:t>c</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schokbalg voor NW</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vóór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(opus 351) is gebouwd als interimorgel voor de Dom in Frankfurt am Main en werd uiteindelijk door Uithuizen aangekocht na bemiddeling van H. Bos Kzn, houthandelaar te Rotterdam.</w:t>
      </w:r>
    </w:p>
    <w:p>
      <w:pPr>
        <w:pStyle w:val="T1"/>
        <w:jc w:val="start"/>
        <w:rPr>
          <w:lang w:val="nl-NL"/>
        </w:rPr>
      </w:pPr>
      <w:r>
        <w:rPr>
          <w:lang w:val="nl-NL"/>
        </w:rPr>
        <w:t>De kas is aan de bovenzijde open en was oorspronkelijk geschilderd in een houtimitatie.</w:t>
      </w:r>
    </w:p>
    <w:p>
      <w:pPr>
        <w:pStyle w:val="T1"/>
        <w:jc w:val="start"/>
        <w:rPr>
          <w:lang w:val="nl-NL"/>
        </w:rPr>
      </w:pPr>
      <w:r>
        <w:rPr>
          <w:lang w:val="nl-NL"/>
        </w:rPr>
        <w:t>De windvoorziening bestond uit twee kastbalgen (mogelijk getreden met houten ‘stijgbeugels’) die met een regulateurbalg voor het hele werk en een schokbalgje voor voldoende stabiele wind moesten zorgen. De huidige windvoorziening met een magazijnbalg dateert uit 1931; bij de laatste restauratie is deze gehandhaafd. Bij de lade voor het NW is een schokbalgje aanwezig. De windvoorziening ligt achter de pedaallade, waardoor de kas erg diep is.</w:t>
      </w:r>
    </w:p>
    <w:p>
      <w:pPr>
        <w:pStyle w:val="T1"/>
        <w:jc w:val="start"/>
        <w:rPr>
          <w:lang w:val="nl-NL"/>
        </w:rPr>
      </w:pPr>
      <w:r>
        <w:rPr>
          <w:lang w:val="nl-NL"/>
        </w:rPr>
        <w:t>De speeltafel is zodanig geplaatst dat de bespeler met zijn rug naar het orgel zit. De registertrekkers (inclusief die van de beide koppels) zijn geplaatst aan weerszijden van de klavieren en voorzien van porseleinen naamplaatjes. De tutti-trede is mechanisch.</w:t>
      </w:r>
    </w:p>
    <w:p>
      <w:pPr>
        <w:pStyle w:val="T1"/>
        <w:jc w:val="start"/>
        <w:rPr>
          <w:lang w:val="nl-NL"/>
        </w:rPr>
      </w:pPr>
      <w:r>
        <w:rPr>
          <w:lang w:val="nl-NL"/>
        </w:rPr>
        <w:t>Het pijpwerk staat op mechanische kegelladen welke achterelkaar zijn geplaatst. De opstelling is in hele tonen vanuit het midden naar weerszijden aflopend.</w:t>
      </w:r>
    </w:p>
    <w:p>
      <w:pPr>
        <w:pStyle w:val="T1"/>
        <w:jc w:val="start"/>
        <w:rPr/>
      </w:pPr>
      <w:r>
        <w:rPr>
          <w:lang w:val="nl-NL"/>
        </w:rPr>
        <w:t>De Principal 8' van het HW heeft houten pijpen voor de tonen C-E (achter het middelste frontveld), F-a staan in het front, de rest op de lade; alle pijpen met expressions. De Bourdon 16' is geheel van hout, gedekt. De Flöte 8' is geheel van hout, open, met metalen stemkleppen. De Viola di Gamba 8' is geheel van metaal, expressions. C-A van de Octav 4' staan in het front, de rest op de lade, alle pijpen met expressions. Van de Rohr Flöte 4' voet zijn gis</w:t>
      </w:r>
      <w:r>
        <w:rPr>
          <w:vertAlign w:val="superscript"/>
          <w:lang w:val="nl-NL"/>
        </w:rPr>
        <w:t>2</w:t>
      </w:r>
      <w:r>
        <w:rPr>
          <w:lang w:val="nl-NL"/>
        </w:rPr>
        <w:t>-f</w:t>
      </w:r>
      <w:r>
        <w:rPr>
          <w:vertAlign w:val="superscript"/>
          <w:lang w:val="nl-NL"/>
        </w:rPr>
        <w:t>3</w:t>
      </w:r>
      <w:r>
        <w:rPr>
          <w:lang w:val="nl-NL"/>
        </w:rPr>
        <w:t xml:space="preserve"> cilindrisch, open. Met uitzondering van het kleinste pijpwerk is ook de Mixtur voorzien van expressions.</w:t>
      </w:r>
    </w:p>
    <w:p>
      <w:pPr>
        <w:pStyle w:val="T1"/>
        <w:jc w:val="start"/>
        <w:rPr/>
      </w:pPr>
      <w:r>
        <w:rPr>
          <w:lang w:val="nl-NL"/>
        </w:rPr>
        <w:t>Op het NW is de Salicional 8' van C-H van hout, met ingezette metalen expressions, het vervolg is van metaal, met expressions. De Liebl. Gedeckt 8' is grotendeels van hout, gedekt en uitgevoerd als Doppelflöte, a</w:t>
      </w:r>
      <w:r>
        <w:rPr>
          <w:vertAlign w:val="superscript"/>
          <w:lang w:val="nl-NL"/>
        </w:rPr>
        <w:t>2</w:t>
      </w:r>
      <w:r>
        <w:rPr>
          <w:lang w:val="nl-NL"/>
        </w:rPr>
        <w:t>-f</w:t>
      </w:r>
      <w:r>
        <w:rPr>
          <w:vertAlign w:val="superscript"/>
          <w:lang w:val="nl-NL"/>
        </w:rPr>
        <w:t>3</w:t>
      </w:r>
      <w:r>
        <w:rPr>
          <w:lang w:val="nl-NL"/>
        </w:rPr>
        <w:t xml:space="preserve"> zijn metaal, open, cilindrisch. De Flöte 4' is van hout, open met metalen stemklepjes, a</w:t>
      </w:r>
      <w:r>
        <w:rPr>
          <w:vertAlign w:val="superscript"/>
          <w:lang w:val="nl-NL"/>
        </w:rPr>
        <w:t>2</w:t>
      </w:r>
      <w:r>
        <w:rPr>
          <w:lang w:val="nl-NL"/>
        </w:rPr>
        <w:t>-f</w:t>
      </w:r>
      <w:r>
        <w:rPr>
          <w:vertAlign w:val="superscript"/>
          <w:lang w:val="nl-NL"/>
        </w:rPr>
        <w:t>3</w:t>
      </w:r>
      <w:r>
        <w:rPr>
          <w:lang w:val="nl-NL"/>
        </w:rPr>
        <w:t xml:space="preserve"> zijn van metaal (open).</w:t>
      </w:r>
    </w:p>
    <w:p>
      <w:pPr>
        <w:pStyle w:val="T1"/>
        <w:jc w:val="start"/>
        <w:rPr>
          <w:lang w:val="nl-NL"/>
        </w:rPr>
      </w:pPr>
      <w:r>
        <w:rPr>
          <w:lang w:val="nl-NL"/>
        </w:rPr>
        <w:t>Van het Ped is de Subbass 16' geheel gedekt. De Octavbass 8' heeft open houten pijpen met ingezette metalen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2006-04-25T12:27:00Z</dcterms:created>
  <dc:creator>WS1</dc:creator>
  <dc:description/>
  <dc:language>en-US</dc:language>
  <cp:lastModifiedBy>WS1</cp:lastModifiedBy>
  <cp:lastPrinted>2005-12-14T11:57:00Z</cp:lastPrinted>
  <dcterms:modified xsi:type="dcterms:W3CDTF">2006-04-25T12:27:00Z</dcterms:modified>
  <cp:revision>2</cp:revision>
  <dc:subject/>
  <dc:title>Uithuizen / 1878</dc:title>
</cp:coreProperties>
</file>