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Vaassen / 1878</w:t>
      </w:r>
    </w:p>
    <w:p>
      <w:pPr>
        <w:pStyle w:val="Heading2"/>
        <w:rPr>
          <w:i w:val="false"/>
          <w:i w:val="false"/>
          <w:iCs/>
        </w:rPr>
      </w:pPr>
      <w:r>
        <w:rPr>
          <w:i w:val="false"/>
          <w:iCs/>
        </w:rPr>
        <w:t>R.K. St-Martinuskerk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Driebeukige neogotische kruisbasiliek met toren, polygonaal gesloten transeptarmen en een koor met omgang, gebouwd 1916-1917 naar ontwerp van Herman Kroes, ter vervanging van een kerk uit 1832. Inwendig centraliserende kruising. In het middenschip in elke travee twee gekoppelde kruisribgewelven; in de zijbeuken een verwante overwelving. Neogotische preekstoel.</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1878</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orgel met een neogotisch front dat door de stijl van het snijwerk duidelijk de herkomst uit het atelier Mengelberg verraadt. Het is voor de Mengelberg-fronten van Maarschalkerweerd wat atypisch. Het vertoont wel dezelfde opbouw als het orgel van Wegdam uit 1874 (deel 1872-1878, 33) dat voor Maarschalkerweerd geruime tijd representatief zal blijven, maar wijkt daarvan toch in een aantal belangrijke opzichten af. De trapeziumvormige middentoren komt bij de andere fronten van dit stramien niet voor. Ook de verhoogde frontstokken in de tussenvelden met hun rechthoekige panelen zijn niet gebruikelijk. Meestal hebben deze panelen schuin naar buiten aflopende bovenlijsten. De buitenvelden, eigenlijk eerder vlakke torens, hebben eveneens verhoogde frontstokken, zij het veel lager dan die bij de tussenvelden, wat wel gebruikelijk is.</w:t>
      </w:r>
    </w:p>
    <w:p>
      <w:pPr>
        <w:pStyle w:val="T2Kunst"/>
        <w:jc w:val="start"/>
        <w:rPr>
          <w:lang w:val="nl-NL"/>
        </w:rPr>
      </w:pPr>
      <w:r>
        <w:rPr>
          <w:lang w:val="nl-NL"/>
        </w:rPr>
        <w:t>Het snijwerk vertoont vormen ontleend aan de flamboyante gotiek. Blinderingen aan de pijpvoeten ontbreken, behalve bij de middentoren, waar zij de vorm hebben van lage driehoekige panelen. Opmerkelijk zijn vooral de blinderingen in de zijvelden. De pijpvelden worden omsloten door een kielboog, waaruit een vrij forse kruisbloem voortkomt die wordt begeleid door twee rozetten. Dit geheel is weer gevat in een gelobde spitsboog, die in haar boogzwikken is voorzien van bladwerk. Deze opzet vinden wij verder bij de Maarschalkerweerd-fronten van dit type niet. De zijvelden worden bekroond door snijwerk, in hoofdzaak opgebouwd uit elkaar snijdende kielboogsegmenten. Deze vindt men ook terug in de opengewerkte panelen onder de verhoogde frontstokken. De pijpen in de middentoren zijn ook gevat in een kielboog. In de opengewerkte boogzwikken zijn daar gotische voluutvormen te zien. De bekroning is van dezelfde opzet als die bij de zijvelden. De console onder de toren is voorzien van een reeks eenvoudige spitsboogjes. Bovenin de tussenvelden zien wij langgerekt traceerwerk, bestaande uit een rondboogvorm, geflankeerd door twee halve bogen, alles hoofdzakelijk opgebouwd uit kielboogvormen. Zij worden bekroond door tootlijsten. De panelen onder de velden bevatten neogotisch snijwerk, in plantaardig aandoende voluutvormen, waartussen een spreukband (zonder spreuk) is aangebracht.</w:t>
      </w:r>
    </w:p>
    <w:p>
      <w:pPr>
        <w:pStyle w:val="T2Kunst"/>
        <w:jc w:val="start"/>
        <w:rPr>
          <w:lang w:val="nl-NL"/>
        </w:rPr>
      </w:pPr>
      <w:r>
        <w:rPr>
          <w:lang w:val="nl-NL"/>
        </w:rPr>
        <w:t>De iets ingesnoerde onderkas is gedecoreerd met briefpanelen.</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i/>
          <w:iCs/>
          <w:lang w:val="nl-NL"/>
        </w:rPr>
        <w:t>De Katholieke Kerk in Vaassen</w:t>
      </w:r>
      <w:r>
        <w:rPr>
          <w:lang w:val="nl-NL"/>
        </w:rPr>
        <w:t>. Z.p., z.j.</w:t>
      </w:r>
    </w:p>
    <w:p>
      <w:pPr>
        <w:pStyle w:val="T3Lit"/>
        <w:jc w:val="start"/>
        <w:rPr/>
      </w:pPr>
      <w:r>
        <w:rPr>
          <w:lang w:val="nl-NL"/>
        </w:rPr>
        <w:t xml:space="preserve">Maarten Seijbel, </w:t>
      </w:r>
      <w:r>
        <w:rPr>
          <w:i/>
          <w:lang w:val="nl-NL"/>
        </w:rPr>
        <w:t>Zes eeuwen Veluwse orgels</w:t>
      </w:r>
      <w:r>
        <w:rPr>
          <w:lang w:val="nl-NL"/>
        </w:rPr>
        <w:t>. Zaltbommel, 1975, 99-100.</w:t>
      </w:r>
    </w:p>
    <w:p>
      <w:pPr>
        <w:pStyle w:val="T3Lit"/>
        <w:jc w:val="start"/>
        <w:rPr>
          <w:lang w:val="nl-NL"/>
        </w:rPr>
      </w:pPr>
      <w:r>
        <w:rPr>
          <w:lang w:val="nl-NL"/>
        </w:rPr>
      </w:r>
    </w:p>
    <w:p>
      <w:pPr>
        <w:pStyle w:val="T3Lit"/>
        <w:jc w:val="start"/>
        <w:rPr>
          <w:lang w:val="nl-NL"/>
        </w:rPr>
      </w:pPr>
      <w:r>
        <w:rPr>
          <w:lang w:val="nl-NL"/>
        </w:rPr>
        <w:t>Monumentnummer 522645</w:t>
      </w:r>
    </w:p>
    <w:p>
      <w:pPr>
        <w:pStyle w:val="T3Lit"/>
        <w:jc w:val="start"/>
        <w:rPr>
          <w:lang w:val="nl-NL"/>
        </w:rPr>
      </w:pPr>
      <w:r>
        <w:rPr>
          <w:lang w:val="nl-NL"/>
        </w:rPr>
        <w:t>Orgelnummer 1535</w:t>
      </w:r>
    </w:p>
    <w:p>
      <w:pPr>
        <w:pStyle w:val="T1"/>
        <w:jc w:val="start"/>
        <w:rPr>
          <w:lang w:val="nl-NL"/>
        </w:rPr>
      </w:pPr>
      <w:r>
        <w:rPr>
          <w:lang w:val="nl-NL"/>
        </w:rPr>
      </w:r>
    </w:p>
    <w:p>
      <w:pPr>
        <w:pStyle w:val="Heading2"/>
        <w:rPr>
          <w:i w:val="false"/>
          <w:i w:val="false"/>
        </w:rPr>
      </w:pPr>
      <w:r>
        <w:rPr>
          <w:i w:val="false"/>
        </w:rPr>
        <w:t>Historische gegevens</w:t>
      </w:r>
    </w:p>
    <w:p>
      <w:pPr>
        <w:pStyle w:val="T1"/>
        <w:jc w:val="start"/>
        <w:rPr>
          <w:i/>
          <w:i/>
          <w:lang w:val="nl-NL"/>
        </w:rPr>
      </w:pPr>
      <w:r>
        <w:rPr>
          <w:i/>
          <w:lang w:val="nl-NL"/>
        </w:rPr>
      </w:r>
    </w:p>
    <w:p>
      <w:pPr>
        <w:pStyle w:val="T1"/>
        <w:jc w:val="start"/>
        <w:rPr>
          <w:lang w:val="nl-NL"/>
        </w:rPr>
      </w:pPr>
      <w:r>
        <w:rPr>
          <w:lang w:val="nl-NL"/>
        </w:rPr>
        <w:t>Bouwer</w:t>
      </w:r>
    </w:p>
    <w:p>
      <w:pPr>
        <w:pStyle w:val="T1"/>
        <w:jc w:val="start"/>
        <w:rPr>
          <w:lang w:val="nl-NL"/>
        </w:rPr>
      </w:pPr>
      <w:r>
        <w:rPr>
          <w:lang w:val="nl-NL"/>
        </w:rPr>
        <w:t>Maarschalkerweerd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1878</w:t>
      </w:r>
    </w:p>
    <w:p>
      <w:pPr>
        <w:pStyle w:val="T1"/>
        <w:jc w:val="start"/>
        <w:rPr>
          <w:lang w:val="nl-NL"/>
        </w:rPr>
      </w:pPr>
      <w:r>
        <w:rPr>
          <w:lang w:val="nl-NL"/>
        </w:rPr>
      </w:r>
    </w:p>
    <w:p>
      <w:pPr>
        <w:pStyle w:val="T1"/>
        <w:jc w:val="start"/>
        <w:rPr/>
      </w:pPr>
      <w:r>
        <w:rPr/>
        <w:t>Dispositie 1878</w:t>
      </w:r>
    </w:p>
    <w:tbl>
      <w:tblPr>
        <w:tblW w:w="4103" w:type="dxa"/>
        <w:jc w:val="start"/>
        <w:tblInd w:w="-70" w:type="dxa"/>
        <w:tblLayout w:type="fixed"/>
        <w:tblCellMar>
          <w:top w:w="0" w:type="dxa"/>
          <w:start w:w="70" w:type="dxa"/>
          <w:bottom w:w="0" w:type="dxa"/>
          <w:end w:w="70" w:type="dxa"/>
        </w:tblCellMar>
      </w:tblPr>
      <w:tblGrid>
        <w:gridCol w:w="1475"/>
        <w:gridCol w:w="668"/>
        <w:gridCol w:w="1600"/>
        <w:gridCol w:w="360"/>
      </w:tblGrid>
      <w:tr>
        <w:trPr/>
        <w:tc>
          <w:tcPr>
            <w:tcW w:w="1475" w:type="dxa"/>
            <w:tcBorders/>
          </w:tcPr>
          <w:p>
            <w:pPr>
              <w:pStyle w:val="T4dispositie"/>
              <w:jc w:val="start"/>
              <w:rPr>
                <w:i/>
                <w:i/>
                <w:iCs/>
                <w:lang w:val="nl-NL"/>
              </w:rPr>
            </w:pPr>
            <w:r>
              <w:rPr>
                <w:i/>
                <w:iCs/>
                <w:lang w:val="nl-NL"/>
              </w:rPr>
              <w:t>Hoofdwerk</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Harmoniefluit</w:t>
            </w:r>
          </w:p>
          <w:p>
            <w:pPr>
              <w:pStyle w:val="T4dispositie"/>
              <w:jc w:val="start"/>
              <w:rPr>
                <w:lang w:val="nl-NL"/>
              </w:rPr>
            </w:pPr>
            <w:r>
              <w:rPr>
                <w:lang w:val="nl-NL"/>
              </w:rPr>
              <w:t>Violon</w:t>
            </w:r>
          </w:p>
          <w:p>
            <w:pPr>
              <w:pStyle w:val="T4dispositie"/>
              <w:jc w:val="start"/>
              <w:rPr>
                <w:lang w:val="nl-NL"/>
              </w:rPr>
            </w:pPr>
            <w:r>
              <w:rPr>
                <w:lang w:val="nl-NL"/>
              </w:rPr>
              <w:t>Prestant</w:t>
            </w:r>
          </w:p>
          <w:p>
            <w:pPr>
              <w:pStyle w:val="T4dispositie"/>
              <w:jc w:val="start"/>
              <w:rPr>
                <w:lang w:val="nl-NL"/>
              </w:rPr>
            </w:pPr>
            <w:r>
              <w:rPr>
                <w:lang w:val="nl-NL"/>
              </w:rPr>
              <w:t>Oktaaffluit</w:t>
            </w:r>
          </w:p>
          <w:p>
            <w:pPr>
              <w:pStyle w:val="T4dispositie"/>
              <w:jc w:val="start"/>
              <w:rPr>
                <w:lang w:val="nl-NL"/>
              </w:rPr>
            </w:pPr>
            <w:r>
              <w:rPr>
                <w:lang w:val="nl-NL"/>
              </w:rPr>
              <w:t>Oktaaf</w:t>
            </w:r>
          </w:p>
          <w:p>
            <w:pPr>
              <w:pStyle w:val="T4dispositie"/>
              <w:jc w:val="start"/>
              <w:rPr>
                <w:lang w:val="nl-NL"/>
              </w:rPr>
            </w:pPr>
            <w:r>
              <w:rPr>
                <w:lang w:val="nl-NL"/>
              </w:rPr>
              <w:t>Trompet</w:t>
            </w:r>
          </w:p>
        </w:tc>
        <w:tc>
          <w:tcPr>
            <w:tcW w:w="668"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c>
          <w:tcPr>
            <w:tcW w:w="1600" w:type="dxa"/>
            <w:tcBorders/>
          </w:tcPr>
          <w:p>
            <w:pPr>
              <w:pStyle w:val="T4dispositie"/>
              <w:jc w:val="start"/>
              <w:rPr>
                <w:i/>
                <w:i/>
                <w:iCs/>
                <w:lang w:val="nl-NL"/>
              </w:rPr>
            </w:pPr>
            <w:r>
              <w:rPr>
                <w:i/>
                <w:iCs/>
                <w:lang w:val="nl-NL"/>
              </w:rPr>
              <w:t>Nevenwerk</w:t>
            </w:r>
          </w:p>
          <w:p>
            <w:pPr>
              <w:pStyle w:val="T4dispositie"/>
              <w:jc w:val="start"/>
              <w:rPr>
                <w:lang w:val="nl-NL"/>
              </w:rPr>
            </w:pPr>
            <w:r>
              <w:rPr>
                <w:lang w:val="nl-NL"/>
              </w:rPr>
              <w:t>Holpijp</w:t>
            </w:r>
          </w:p>
          <w:p>
            <w:pPr>
              <w:pStyle w:val="T4dispositie"/>
              <w:jc w:val="start"/>
              <w:rPr>
                <w:lang w:val="nl-NL"/>
              </w:rPr>
            </w:pPr>
            <w:r>
              <w:rPr>
                <w:lang w:val="nl-NL"/>
              </w:rPr>
              <w:t>Fernfluit</w:t>
            </w:r>
          </w:p>
          <w:p>
            <w:pPr>
              <w:pStyle w:val="T4dispositie"/>
              <w:jc w:val="start"/>
              <w:rPr>
                <w:lang w:val="nl-NL"/>
              </w:rPr>
            </w:pPr>
            <w:r>
              <w:rPr>
                <w:lang w:val="nl-NL"/>
              </w:rPr>
              <w:t>Viola di Gamba</w:t>
            </w:r>
          </w:p>
          <w:p>
            <w:pPr>
              <w:pStyle w:val="T4dispositie"/>
              <w:jc w:val="start"/>
              <w:rPr>
                <w:lang w:val="nl-NL"/>
              </w:rPr>
            </w:pPr>
            <w:r>
              <w:rPr>
                <w:lang w:val="nl-NL"/>
              </w:rPr>
              <w:t>Roerfluit</w:t>
            </w:r>
          </w:p>
          <w:p>
            <w:pPr>
              <w:pStyle w:val="T4dispositie"/>
              <w:jc w:val="start"/>
              <w:rPr>
                <w:lang w:val="nl-NL"/>
              </w:rPr>
            </w:pPr>
            <w:r>
              <w:rPr>
                <w:lang w:val="nl-NL"/>
              </w:rPr>
              <w:t>Salicet</w:t>
            </w:r>
          </w:p>
        </w:tc>
        <w:tc>
          <w:tcPr>
            <w:tcW w:w="360"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tc>
      </w:tr>
    </w:tbl>
    <w:p>
      <w:pPr>
        <w:pStyle w:val="T4dispositie"/>
        <w:jc w:val="start"/>
        <w:rPr>
          <w:lang w:val="nl-NL"/>
        </w:rPr>
      </w:pPr>
      <w:r>
        <w:rPr>
          <w:lang w:val="nl-NL"/>
        </w:rPr>
      </w:r>
    </w:p>
    <w:p>
      <w:pPr>
        <w:pStyle w:val="T4dispositie"/>
        <w:jc w:val="start"/>
        <w:rPr>
          <w:lang w:val="nl-NL"/>
        </w:rPr>
      </w:pPr>
      <w:r>
        <w:rPr>
          <w:lang w:val="nl-NL"/>
        </w:rPr>
        <w:t>manuaalkoppel</w:t>
      </w:r>
    </w:p>
    <w:p>
      <w:pPr>
        <w:pStyle w:val="T4dispositie"/>
        <w:jc w:val="start"/>
        <w:rPr>
          <w:lang w:val="nl-NL"/>
        </w:rPr>
      </w:pPr>
      <w:r>
        <w:rPr>
          <w:lang w:val="nl-NL"/>
        </w:rPr>
        <w:t>aangehangen pedaal</w:t>
      </w:r>
    </w:p>
    <w:p>
      <w:pPr>
        <w:pStyle w:val="T1"/>
        <w:jc w:val="start"/>
        <w:rPr>
          <w:lang w:val="nl-NL"/>
        </w:rPr>
      </w:pPr>
      <w:r>
        <w:rPr>
          <w:lang w:val="nl-NL"/>
        </w:rPr>
      </w:r>
    </w:p>
    <w:p>
      <w:pPr>
        <w:pStyle w:val="T1"/>
        <w:jc w:val="start"/>
        <w:rPr>
          <w:lang w:val="nl-NL"/>
        </w:rPr>
      </w:pPr>
      <w:r>
        <w:rPr>
          <w:lang w:val="nl-NL"/>
        </w:rPr>
        <w:t>1917</w:t>
      </w:r>
    </w:p>
    <w:p>
      <w:pPr>
        <w:pStyle w:val="T1"/>
        <w:jc w:val="start"/>
        <w:rPr>
          <w:lang w:val="nl-NL"/>
        </w:rPr>
      </w:pPr>
      <w:r>
        <w:rPr>
          <w:lang w:val="nl-NL"/>
        </w:rPr>
        <w:t>.</w:t>
        <w:tab/>
        <w:t>orgel overgeplaatst naar nieuw kerkgebouw</w:t>
      </w:r>
    </w:p>
    <w:p>
      <w:pPr>
        <w:pStyle w:val="T1"/>
        <w:jc w:val="start"/>
        <w:rPr>
          <w:lang w:val="nl-NL"/>
        </w:rPr>
      </w:pPr>
      <w:r>
        <w:rPr>
          <w:lang w:val="nl-NL"/>
        </w:rPr>
      </w:r>
    </w:p>
    <w:p>
      <w:pPr>
        <w:pStyle w:val="T1"/>
        <w:jc w:val="start"/>
        <w:rPr>
          <w:lang w:val="nl-NL"/>
        </w:rPr>
      </w:pPr>
      <w:r>
        <w:rPr>
          <w:lang w:val="nl-NL"/>
        </w:rPr>
        <w:t>J.C. Sanders &amp; Zn 1925</w:t>
      </w:r>
    </w:p>
    <w:p>
      <w:pPr>
        <w:pStyle w:val="T1"/>
        <w:jc w:val="start"/>
        <w:rPr>
          <w:lang w:val="nl-NL"/>
        </w:rPr>
      </w:pPr>
      <w:r>
        <w:rPr>
          <w:lang w:val="nl-NL"/>
        </w:rPr>
        <w:t>.</w:t>
        <w:tab/>
        <w:t>orgel hersteld en gewijzigd</w:t>
      </w:r>
    </w:p>
    <w:p>
      <w:pPr>
        <w:pStyle w:val="T1"/>
        <w:jc w:val="start"/>
        <w:rPr>
          <w:lang w:val="nl-NL"/>
        </w:rPr>
      </w:pPr>
      <w:r>
        <w:rPr>
          <w:lang w:val="nl-NL"/>
        </w:rPr>
      </w:r>
    </w:p>
    <w:p>
      <w:pPr>
        <w:pStyle w:val="T1"/>
        <w:jc w:val="start"/>
        <w:rPr>
          <w:lang w:val="nl-NL"/>
        </w:rPr>
      </w:pPr>
      <w:r>
        <w:rPr>
          <w:lang w:val="nl-NL"/>
        </w:rPr>
        <w:t>1954</w:t>
      </w:r>
    </w:p>
    <w:p>
      <w:pPr>
        <w:pStyle w:val="T1"/>
        <w:jc w:val="start"/>
        <w:rPr>
          <w:lang w:val="nl-NL"/>
        </w:rPr>
      </w:pPr>
      <w:r>
        <w:rPr>
          <w:lang w:val="nl-NL"/>
        </w:rPr>
        <w:t>.</w:t>
        <w:tab/>
        <w:t>HW - Violon 8', + Quint 3'</w:t>
      </w:r>
    </w:p>
    <w:p>
      <w:pPr>
        <w:pStyle w:val="T1"/>
        <w:jc w:val="start"/>
        <w:rPr>
          <w:lang w:val="nl-NL"/>
        </w:rPr>
      </w:pPr>
      <w:r>
        <w:rPr>
          <w:lang w:val="nl-NL"/>
        </w:rPr>
      </w:r>
    </w:p>
    <w:p>
      <w:pPr>
        <w:pStyle w:val="T1"/>
        <w:jc w:val="start"/>
        <w:rPr>
          <w:lang w:val="nl-NL"/>
        </w:rPr>
      </w:pPr>
      <w:r>
        <w:rPr>
          <w:lang w:val="nl-NL"/>
        </w:rPr>
        <w:t>H. Schreurs 1974</w:t>
      </w:r>
    </w:p>
    <w:p>
      <w:pPr>
        <w:pStyle w:val="T1"/>
        <w:jc w:val="start"/>
        <w:rPr>
          <w:lang w:val="nl-NL"/>
        </w:rPr>
      </w:pPr>
      <w:r>
        <w:rPr>
          <w:lang w:val="nl-NL"/>
        </w:rPr>
        <w:t>.</w:t>
        <w:tab/>
        <w:t>restauratie</w:t>
      </w:r>
    </w:p>
    <w:p>
      <w:pPr>
        <w:pStyle w:val="T1"/>
        <w:jc w:val="start"/>
        <w:rPr>
          <w:lang w:val="nl-NL"/>
        </w:rPr>
      </w:pPr>
      <w:r>
        <w:rPr>
          <w:lang w:val="nl-NL"/>
        </w:rPr>
        <w:t>.</w:t>
        <w:tab/>
        <w:t>NW - Fernfluit 8', + Woudfluit 2'</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aangehangen pedaal</w:t>
      </w:r>
    </w:p>
    <w:p>
      <w:pPr>
        <w:pStyle w:val="T1"/>
        <w:jc w:val="start"/>
        <w:rPr>
          <w:lang w:val="nl-NL"/>
        </w:rPr>
      </w:pPr>
      <w:r>
        <w:rPr>
          <w:lang w:val="nl-NL"/>
        </w:rPr>
      </w:r>
    </w:p>
    <w:p>
      <w:pPr>
        <w:pStyle w:val="T1"/>
        <w:jc w:val="start"/>
        <w:rPr/>
      </w:pPr>
      <w:r>
        <w:rPr/>
        <w:t>Dispositie</w:t>
      </w:r>
    </w:p>
    <w:tbl>
      <w:tblPr>
        <w:tblW w:w="4103" w:type="dxa"/>
        <w:jc w:val="start"/>
        <w:tblInd w:w="-70" w:type="dxa"/>
        <w:tblLayout w:type="fixed"/>
        <w:tblCellMar>
          <w:top w:w="0" w:type="dxa"/>
          <w:start w:w="70" w:type="dxa"/>
          <w:bottom w:w="0" w:type="dxa"/>
          <w:end w:w="70" w:type="dxa"/>
        </w:tblCellMar>
      </w:tblPr>
      <w:tblGrid>
        <w:gridCol w:w="1475"/>
        <w:gridCol w:w="668"/>
        <w:gridCol w:w="1600"/>
        <w:gridCol w:w="360"/>
      </w:tblGrid>
      <w:tr>
        <w:trPr/>
        <w:tc>
          <w:tcPr>
            <w:tcW w:w="1475"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Harmoniefluit</w:t>
            </w:r>
          </w:p>
          <w:p>
            <w:pPr>
              <w:pStyle w:val="T4dispositie"/>
              <w:jc w:val="start"/>
              <w:rPr>
                <w:lang w:val="nl-NL"/>
              </w:rPr>
            </w:pPr>
            <w:r>
              <w:rPr>
                <w:lang w:val="nl-NL"/>
              </w:rPr>
              <w:t>Prestant</w:t>
            </w:r>
          </w:p>
          <w:p>
            <w:pPr>
              <w:pStyle w:val="T4dispositie"/>
              <w:jc w:val="start"/>
              <w:rPr>
                <w:lang w:val="nl-NL"/>
              </w:rPr>
            </w:pPr>
            <w:r>
              <w:rPr>
                <w:lang w:val="nl-NL"/>
              </w:rPr>
              <w:t>Oktaaffluit</w:t>
            </w:r>
          </w:p>
          <w:p>
            <w:pPr>
              <w:pStyle w:val="T4dispositie"/>
              <w:jc w:val="start"/>
              <w:rPr>
                <w:lang w:val="nl-NL"/>
              </w:rPr>
            </w:pPr>
            <w:r>
              <w:rPr>
                <w:lang w:val="nl-NL"/>
              </w:rPr>
              <w:t>Quint</w:t>
            </w:r>
          </w:p>
          <w:p>
            <w:pPr>
              <w:pStyle w:val="T4dispositie"/>
              <w:jc w:val="start"/>
              <w:rPr>
                <w:lang w:val="nl-NL"/>
              </w:rPr>
            </w:pPr>
            <w:r>
              <w:rPr>
                <w:lang w:val="nl-NL"/>
              </w:rPr>
              <w:t>Oktaaf</w:t>
            </w:r>
          </w:p>
          <w:p>
            <w:pPr>
              <w:pStyle w:val="T4dispositie"/>
              <w:jc w:val="start"/>
              <w:rPr>
                <w:lang w:val="nl-NL"/>
              </w:rPr>
            </w:pPr>
            <w:r>
              <w:rPr>
                <w:lang w:val="nl-NL"/>
              </w:rPr>
              <w:t>Trompet</w:t>
            </w:r>
          </w:p>
        </w:tc>
        <w:tc>
          <w:tcPr>
            <w:tcW w:w="668"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8'</w:t>
            </w:r>
          </w:p>
        </w:tc>
        <w:tc>
          <w:tcPr>
            <w:tcW w:w="1600" w:type="dxa"/>
            <w:tcBorders/>
          </w:tcPr>
          <w:p>
            <w:pPr>
              <w:pStyle w:val="T4dispositie"/>
              <w:jc w:val="start"/>
              <w:rPr>
                <w:i/>
                <w:i/>
                <w:iCs/>
                <w:lang w:val="nl-NL"/>
              </w:rPr>
            </w:pPr>
            <w:r>
              <w:rPr>
                <w:i/>
                <w:iCs/>
                <w:lang w:val="nl-NL"/>
              </w:rPr>
              <w:t>Nevenwerk (II)</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Holpijp</w:t>
            </w:r>
          </w:p>
          <w:p>
            <w:pPr>
              <w:pStyle w:val="T4dispositie"/>
              <w:jc w:val="start"/>
              <w:rPr>
                <w:lang w:val="nl-NL"/>
              </w:rPr>
            </w:pPr>
            <w:r>
              <w:rPr>
                <w:lang w:val="nl-NL"/>
              </w:rPr>
              <w:t>Gamba</w:t>
            </w:r>
          </w:p>
          <w:p>
            <w:pPr>
              <w:pStyle w:val="T4dispositie"/>
              <w:jc w:val="start"/>
              <w:rPr>
                <w:lang w:val="nl-NL"/>
              </w:rPr>
            </w:pPr>
            <w:r>
              <w:rPr>
                <w:lang w:val="nl-NL"/>
              </w:rPr>
              <w:t>Roerfluit</w:t>
            </w:r>
          </w:p>
          <w:p>
            <w:pPr>
              <w:pStyle w:val="T4dispositie"/>
              <w:jc w:val="start"/>
              <w:rPr>
                <w:lang w:val="nl-NL"/>
              </w:rPr>
            </w:pPr>
            <w:r>
              <w:rPr>
                <w:lang w:val="nl-NL"/>
              </w:rPr>
              <w:t>Salicet</w:t>
            </w:r>
          </w:p>
          <w:p>
            <w:pPr>
              <w:pStyle w:val="T4dispositie"/>
              <w:jc w:val="start"/>
              <w:rPr>
                <w:lang w:val="nl-NL"/>
              </w:rPr>
            </w:pPr>
            <w:r>
              <w:rPr>
                <w:lang w:val="nl-NL"/>
              </w:rPr>
              <w:t>Woudfluit</w:t>
            </w:r>
          </w:p>
        </w:tc>
        <w:tc>
          <w:tcPr>
            <w:tcW w:w="36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manuaalkoppel</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432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(1878)</w:t>
      </w:r>
    </w:p>
    <w:p>
      <w:pPr>
        <w:pStyle w:val="T1"/>
        <w:jc w:val="start"/>
        <w:rPr>
          <w:lang w:val="nl-NL"/>
        </w:rPr>
      </w:pPr>
      <w:r>
        <w:rPr>
          <w:lang w:val="nl-NL"/>
        </w:rPr>
        <w:t>Winddruk</w:t>
      </w:r>
    </w:p>
    <w:p>
      <w:pPr>
        <w:pStyle w:val="T1"/>
        <w:jc w:val="start"/>
        <w:rPr>
          <w:lang w:val="nl-NL"/>
        </w:rPr>
      </w:pPr>
      <w:r>
        <w:rPr>
          <w:lang w:val="nl-NL"/>
        </w:rPr>
        <w:t>82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voorzijde van de kas is grotendeels van eiken; de zijwanden, de achterwand en het dak zijn van naaldhout.</w:t>
      </w:r>
    </w:p>
    <w:p>
      <w:pPr>
        <w:pStyle w:val="T1"/>
        <w:jc w:val="start"/>
        <w:rPr>
          <w:lang w:val="nl-NL"/>
        </w:rPr>
      </w:pPr>
      <w:r>
        <w:rPr>
          <w:lang w:val="nl-NL"/>
        </w:rPr>
        <w:t>De windvoorziening bevindt zich in de onderkas. De bediening van de schepbalgen is defect.</w:t>
      </w:r>
    </w:p>
    <w:p>
      <w:pPr>
        <w:pStyle w:val="T1"/>
        <w:jc w:val="start"/>
        <w:rPr>
          <w:lang w:val="nl-NL"/>
        </w:rPr>
      </w:pPr>
      <w:r>
        <w:rPr>
          <w:lang w:val="nl-NL"/>
        </w:rPr>
        <w:t>De klaviatuur is origineel, met uitzondering van de gewijzigde registeropschriften. Met uitzondering van de knoppen voor de manuaalkoppel en het ventiel bevinden de registerknoppen zich in een horizontale rij boven de lessenaar. De registerstangen zijn rond; de opschriften zijn in gotische letters op porseleinen plaatjes aangebracht.</w:t>
      </w:r>
    </w:p>
    <w:p>
      <w:pPr>
        <w:pStyle w:val="T1"/>
        <w:jc w:val="start"/>
        <w:rPr>
          <w:lang w:val="nl-NL"/>
        </w:rPr>
      </w:pPr>
      <w:r>
        <w:rPr>
          <w:lang w:val="nl-NL"/>
        </w:rPr>
        <w:t>Het pijpwerk van HW en NW staat op een gecombineerde lade met twee ventielkasten. De registers van het NW staan direct achter het front. De indeling van het HW volgt in principe die van het front, het pijpwerk van het NW staat opgesteld in hele tonen vanuit het midden naar weerszijden aflopend. Het groot octaaf van de Bourdon 16' staat afgevoerd tegen de rechterzijwand van de kas.</w:t>
      </w:r>
    </w:p>
    <w:p>
      <w:pPr>
        <w:pStyle w:val="T1"/>
        <w:jc w:val="start"/>
        <w:rPr/>
      </w:pPr>
      <w:r>
        <w:rPr>
          <w:lang w:val="nl-NL"/>
        </w:rPr>
        <w:t>De Prestant 8' staat van C-gis</w:t>
      </w:r>
      <w:r>
        <w:rPr>
          <w:vertAlign w:val="superscript"/>
          <w:lang w:val="nl-NL"/>
        </w:rPr>
        <w:t>1</w:t>
      </w:r>
      <w:r>
        <w:rPr>
          <w:lang w:val="nl-NL"/>
        </w:rPr>
        <w:t xml:space="preserve"> in het front, het vervolg staat op de lade. De bas van de Bourdon 16' is van hout (gedekt); c</w:t>
      </w:r>
      <w:r>
        <w:rPr>
          <w:vertAlign w:val="superscript"/>
          <w:lang w:val="nl-NL"/>
        </w:rPr>
        <w:t>1</w:t>
      </w:r>
      <w:r>
        <w:rPr>
          <w:lang w:val="nl-NL"/>
        </w:rPr>
        <w:t>-a</w:t>
      </w:r>
      <w:r>
        <w:rPr>
          <w:vertAlign w:val="superscript"/>
          <w:lang w:val="nl-NL"/>
        </w:rPr>
        <w:t>1</w:t>
      </w:r>
      <w:r>
        <w:rPr>
          <w:lang w:val="nl-NL"/>
        </w:rPr>
        <w:t xml:space="preserve"> zijn van metaal (gedekt), het vervolg is uitgevoerd als roerfluit. Het groot octaaf van de Harmoniefluit 8' is van hout (gedekt), c-h zijn van metaal, met roeren, c</w:t>
      </w:r>
      <w:r>
        <w:rPr>
          <w:vertAlign w:val="superscript"/>
          <w:lang w:val="nl-NL"/>
        </w:rPr>
        <w:t>1</w:t>
      </w:r>
      <w:r>
        <w:rPr>
          <w:lang w:val="nl-NL"/>
        </w:rPr>
        <w:t>-e</w:t>
      </w:r>
      <w:r>
        <w:rPr>
          <w:vertAlign w:val="superscript"/>
          <w:lang w:val="nl-NL"/>
        </w:rPr>
        <w:t>1</w:t>
      </w:r>
      <w:r>
        <w:rPr>
          <w:lang w:val="nl-NL"/>
        </w:rPr>
        <w:t xml:space="preserve"> zijn open, cilindrisch; het vervolg is overblazend. De Prestant 4' staat geheel op de lade. De Oktaaffluit 4' is van C-h</w:t>
      </w:r>
      <w:r>
        <w:rPr>
          <w:vertAlign w:val="superscript"/>
          <w:lang w:val="nl-NL"/>
        </w:rPr>
        <w:t>1</w:t>
      </w:r>
      <w:r>
        <w:rPr>
          <w:lang w:val="nl-NL"/>
        </w:rPr>
        <w:t xml:space="preserve"> open, het vervolg is overblazend. De Quint 3' dateert uit 1954. De Trompet 8' is voorzien van metalen stevels en koppen.</w:t>
      </w:r>
    </w:p>
    <w:p>
      <w:pPr>
        <w:pStyle w:val="T1"/>
        <w:jc w:val="start"/>
        <w:rPr>
          <w:lang w:val="nl-NL"/>
        </w:rPr>
      </w:pPr>
      <w:r>
        <w:rPr>
          <w:lang w:val="nl-NL"/>
        </w:rPr>
        <w:t>De Holpijp 8' van het NW is geheel van metaal. De Gamba 8' is eveneens geheel van metaal en begint op C. Het hoogste octaaf van de Roerfluit 4' is open, cilindrisch. De Woudfluit 2' dateert uit 1974 (open, cilindrisch).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autoSpaceDE w:val="false"/>
      <w:spacing w:lineRule="atLeast" w:line="240"/>
      <w:jc w:val="both"/>
    </w:pPr>
    <w:rPr>
      <w:rFonts w:ascii="Times New Roman" w:hAnsi="Times New Roman" w:cs="Times New Roman"/>
      <w:spacing w:val="-3"/>
      <w:szCs w:val="24"/>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2006-04-25T12:27:00Z</dcterms:created>
  <dc:creator>WS1</dc:creator>
  <dc:description/>
  <dc:language>en-US</dc:language>
  <cp:lastModifiedBy>WS1</cp:lastModifiedBy>
  <dcterms:modified xsi:type="dcterms:W3CDTF">2006-04-25T12:27:00Z</dcterms:modified>
  <cp:revision>2</cp:revision>
  <dc:subject/>
  <dc:title>Vaassen / 1878</dc:title>
</cp:coreProperties>
</file>