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Wijtgaard (Wytgaard) / 1878</w:t>
      </w:r>
    </w:p>
    <w:p>
      <w:pPr>
        <w:pStyle w:val="Heading2"/>
        <w:rPr>
          <w:i w:val="false"/>
          <w:i w:val="false"/>
          <w:iCs/>
        </w:rPr>
      </w:pPr>
      <w:r>
        <w:rPr>
          <w:i w:val="false"/>
          <w:iCs/>
        </w:rPr>
        <w:t>R.K. Kerk Onze Lieve Vrouwe ten Hemelopneming</w:t>
      </w:r>
    </w:p>
    <w:p>
      <w:pPr>
        <w:pStyle w:val="T1"/>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Kerk uit 1966, gebouwd na de betreurenswaardige afbraak van de vorige kerk, een belangwekkende eenbeukige kruisbasiliek uit 1870 van P.J.H. Cuypers.</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1878/1966</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neogotische kas van een voor het huis Van Dam ongebruikelijk type. Het is vergelijkbaar met de blokvormige neogotische orgelkassen die door vader en zoon Witte veelvuldig werden gebouwd. Het front, dat in de huidige opstelling niet zichtbaar is, is driedelig en bestaat uit een spitsbogig middenveld, bekroond door een wimberg en twee smallere recht afgesloten zijvelden.</w:t>
      </w:r>
    </w:p>
    <w:p>
      <w:pPr>
        <w:pStyle w:val="T2Kunst"/>
        <w:jc w:val="start"/>
        <w:rPr>
          <w:lang w:val="nl-NL"/>
        </w:rPr>
      </w:pPr>
      <w:r>
        <w:rPr>
          <w:lang w:val="nl-NL"/>
        </w:rPr>
        <w:t>De decoratie is eenvoudig. De middenboog is voorzien van toten, de wimberg bevat een gelobde rozet en wordt bekroond door een kruisbloem. Boven de pijpvelden in de zijvelden is een spitsboogvormige blindering aangebracht met een rozet. Op de zijvelden ziet men twee forse pinakels.</w:t>
      </w:r>
    </w:p>
    <w:p>
      <w:pPr>
        <w:pStyle w:val="T2Kunst"/>
        <w:jc w:val="start"/>
        <w:rPr>
          <w:lang w:val="nl-NL"/>
        </w:rPr>
      </w:pPr>
      <w:r>
        <w:rPr>
          <w:lang w:val="nl-NL"/>
        </w:rPr>
        <w:t>De in 1966 gesloopte kerk was ontworpen door de architect P.J.H. Cuypers. Het is denkbaar dat hij dit orgelfront heeft ontworpen, maar de van hem bekende orgelfronten zien er heel anders uit. Dergelijke Witte-achtige fronten zijn van hem niet bekend.</w:t>
      </w:r>
    </w:p>
    <w:p>
      <w:pPr>
        <w:pStyle w:val="T1"/>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Leeuwarden, 2004, 104, 216.</w:t>
      </w:r>
    </w:p>
    <w:p>
      <w:pPr>
        <w:pStyle w:val="T3Lit"/>
        <w:rPr>
          <w:lang w:val="nl-NL"/>
        </w:rPr>
      </w:pPr>
      <w:r>
        <w:rPr>
          <w:lang w:val="nl-NL"/>
        </w:rPr>
      </w:r>
    </w:p>
    <w:p>
      <w:pPr>
        <w:pStyle w:val="T3Lit"/>
        <w:rPr>
          <w:lang w:val="nl-NL"/>
        </w:rPr>
      </w:pPr>
      <w:r>
        <w:rPr>
          <w:lang w:val="nl-NL"/>
        </w:rPr>
        <w:t>Orgelnummer 1671</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L. van Dam en Zonen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1878</w:t>
      </w:r>
    </w:p>
    <w:p>
      <w:pPr>
        <w:pStyle w:val="T1"/>
        <w:rPr>
          <w:lang w:val="nl-NL"/>
        </w:rPr>
      </w:pPr>
      <w:r>
        <w:rPr>
          <w:lang w:val="nl-NL"/>
        </w:rPr>
      </w:r>
    </w:p>
    <w:p>
      <w:pPr>
        <w:pStyle w:val="T1"/>
        <w:jc w:val="start"/>
        <w:rPr>
          <w:lang w:val="nl-NL"/>
        </w:rPr>
      </w:pPr>
      <w:r>
        <w:rPr>
          <w:lang w:val="nl-NL"/>
        </w:rPr>
        <w:t>1963</w:t>
      </w:r>
    </w:p>
    <w:p>
      <w:pPr>
        <w:pStyle w:val="T1"/>
        <w:jc w:val="start"/>
        <w:rPr>
          <w:lang w:val="nl-NL"/>
        </w:rPr>
      </w:pPr>
      <w:r>
        <w:rPr>
          <w:lang w:val="nl-NL"/>
        </w:rPr>
        <w:t>.</w:t>
        <w:tab/>
        <w:t>orgel gedemonteerd in verband met afbraak kerkgebouw</w:t>
      </w:r>
    </w:p>
    <w:p>
      <w:pPr>
        <w:pStyle w:val="T1"/>
        <w:jc w:val="start"/>
        <w:rPr>
          <w:lang w:val="nl-NL"/>
        </w:rPr>
      </w:pPr>
      <w:r>
        <w:rPr>
          <w:lang w:val="nl-NL"/>
        </w:rPr>
      </w:r>
    </w:p>
    <w:p>
      <w:pPr>
        <w:pStyle w:val="T1"/>
        <w:jc w:val="start"/>
        <w:rPr>
          <w:lang w:val="nl-NL"/>
        </w:rPr>
      </w:pPr>
      <w:r>
        <w:rPr>
          <w:lang w:val="nl-NL"/>
        </w:rPr>
        <w:t>Jos. Vermeulen 1966</w:t>
      </w:r>
    </w:p>
    <w:p>
      <w:pPr>
        <w:pStyle w:val="T1"/>
        <w:jc w:val="start"/>
        <w:rPr>
          <w:lang w:val="nl-NL"/>
        </w:rPr>
      </w:pPr>
      <w:r>
        <w:rPr>
          <w:lang w:val="nl-NL"/>
        </w:rPr>
        <w:t>.</w:t>
        <w:tab/>
        <w:t>orgel herplaatst in nieuw kerkgebouw</w:t>
      </w:r>
    </w:p>
    <w:p>
      <w:pPr>
        <w:pStyle w:val="T1"/>
        <w:jc w:val="start"/>
        <w:rPr>
          <w:lang w:val="nl-NL"/>
        </w:rPr>
      </w:pPr>
      <w:r>
        <w:rPr>
          <w:lang w:val="nl-NL"/>
        </w:rPr>
        <w:t>.</w:t>
        <w:tab/>
        <w:t>orgelkas met frontzijde tegen de muur geplaatst</w:t>
      </w:r>
    </w:p>
    <w:p>
      <w:pPr>
        <w:pStyle w:val="T1"/>
        <w:numPr>
          <w:ilvl w:val="0"/>
          <w:numId w:val="2"/>
        </w:numPr>
        <w:jc w:val="start"/>
        <w:rPr>
          <w:lang w:val="nl-NL"/>
        </w:rPr>
      </w:pPr>
      <w:r>
        <w:rPr>
          <w:lang w:val="nl-NL"/>
        </w:rPr>
        <w:t>zijwanden kas met modern materiaal bekleed, achterwand weggenomen, tegen de bewaard gebleven zijregels van de oorspronkelijke achterwand een nieuw frontraam geplaatst, hierin alle oorspronkelijke frontpijpen geplaatst</w:t>
      </w:r>
    </w:p>
    <w:p>
      <w:pPr>
        <w:pStyle w:val="T1"/>
        <w:jc w:val="start"/>
        <w:rPr>
          <w:lang w:val="nl-NL"/>
        </w:rPr>
      </w:pPr>
      <w:r>
        <w:rPr>
          <w:lang w:val="nl-NL"/>
        </w:rPr>
        <w:t>.</w:t>
        <w:tab/>
        <w:t>magazijnbalg met schepbalgen vervangen door nieuwe kleine balg</w:t>
      </w:r>
    </w:p>
    <w:p>
      <w:pPr>
        <w:pStyle w:val="T1"/>
        <w:jc w:val="start"/>
        <w:rPr>
          <w:lang w:val="nl-NL"/>
        </w:rPr>
      </w:pPr>
      <w:r>
        <w:rPr>
          <w:lang w:val="nl-NL"/>
        </w:rPr>
        <w:t>.</w:t>
        <w:tab/>
        <w:t>beleg van de ondertoetsen vernieuwd</w:t>
      </w:r>
    </w:p>
    <w:p>
      <w:pPr>
        <w:pStyle w:val="T1"/>
        <w:jc w:val="start"/>
        <w:rPr>
          <w:lang w:val="nl-NL"/>
        </w:rPr>
      </w:pPr>
      <w:r>
        <w:rPr>
          <w:lang w:val="nl-NL"/>
        </w:rPr>
        <w:t>.</w:t>
        <w:tab/>
        <w:t>windlade hersteld</w:t>
      </w:r>
    </w:p>
    <w:p>
      <w:pPr>
        <w:pStyle w:val="T1"/>
        <w:jc w:val="start"/>
        <w:rPr>
          <w:lang w:val="nl-NL"/>
        </w:rPr>
      </w:pPr>
      <w:r>
        <w:rPr>
          <w:lang w:val="nl-NL"/>
        </w:rPr>
        <w:t>.</w:t>
        <w:tab/>
        <w:t>alle conducten door flexibel materiaal vervangen</w:t>
      </w:r>
    </w:p>
    <w:p>
      <w:pPr>
        <w:pStyle w:val="T1"/>
        <w:jc w:val="start"/>
        <w:rPr>
          <w:lang w:val="nl-NL"/>
        </w:rPr>
      </w:pPr>
      <w:r>
        <w:rPr>
          <w:lang w:val="nl-NL"/>
        </w:rPr>
      </w:r>
    </w:p>
    <w:p>
      <w:pPr>
        <w:pStyle w:val="T1"/>
        <w:jc w:val="start"/>
        <w:rPr>
          <w:lang w:val="nl-NL"/>
        </w:rPr>
      </w:pPr>
      <w:r>
        <w:rPr>
          <w:lang w:val="nl-NL"/>
        </w:rPr>
        <w:t>L. de Vries 2005</w:t>
      </w:r>
    </w:p>
    <w:p>
      <w:pPr>
        <w:pStyle w:val="T1"/>
        <w:jc w:val="start"/>
        <w:rPr>
          <w:lang w:val="nl-NL"/>
        </w:rPr>
      </w:pPr>
      <w:r>
        <w:rPr>
          <w:lang w:val="nl-NL"/>
        </w:rPr>
        <w:t>.</w:t>
        <w:tab/>
        <w:t>orgel schoongemaakt en bespeelbaar gemaakt</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217" w:type="dxa"/>
        <w:jc w:val="start"/>
        <w:tblInd w:w="-7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Viool de Gambe</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Quintfluit</w:t>
            </w:r>
          </w:p>
          <w:p>
            <w:pPr>
              <w:pStyle w:val="T4dispositie"/>
              <w:rPr>
                <w:lang w:val="nl-NL"/>
              </w:rPr>
            </w:pPr>
            <w:r>
              <w:rPr>
                <w:lang w:val="nl-NL"/>
              </w:rPr>
              <w:t>Octaaf</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Werktuiglijk register</w:t>
      </w:r>
    </w:p>
    <w:p>
      <w:pPr>
        <w:pStyle w:val="T1"/>
        <w:rPr>
          <w:lang w:val="nl-NL"/>
        </w:rPr>
      </w:pPr>
      <w:r>
        <w:rPr>
          <w:lang w:val="nl-NL"/>
        </w:rPr>
        <w:t>ventiel</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lang w:val="nl-NL"/>
        </w:rPr>
      </w:pPr>
      <w:r>
        <w:rPr>
          <w:lang w:val="nl-NL"/>
        </w:rPr>
        <w:t>C-g</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w:t>
      </w:r>
    </w:p>
    <w:p>
      <w:pPr>
        <w:pStyle w:val="T1"/>
        <w:rPr>
          <w:lang w:val="nl-NL"/>
        </w:rPr>
      </w:pPr>
      <w:r>
        <w:rPr>
          <w:lang w:val="nl-NL"/>
        </w:rPr>
        <w:t>Winddruk</w:t>
      </w:r>
    </w:p>
    <w:p>
      <w:pPr>
        <w:pStyle w:val="T1"/>
        <w:rPr>
          <w:lang w:val="nl-NL"/>
        </w:rPr>
      </w:pPr>
      <w:r>
        <w:rPr>
          <w:lang w:val="nl-NL"/>
        </w:rPr>
        <w:t>71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Het discant-register begint op c</w:t>
      </w:r>
      <w:r>
        <w:rPr>
          <w:vertAlign w:val="superscript"/>
          <w:lang w:val="nl-NL"/>
        </w:rPr>
        <w:t>1</w:t>
      </w:r>
      <w:r>
        <w:rPr>
          <w:lang w:val="nl-NL"/>
        </w:rPr>
        <w:t>.</w:t>
      </w:r>
    </w:p>
    <w:p>
      <w:pPr>
        <w:pStyle w:val="T1"/>
        <w:jc w:val="start"/>
        <w:rPr>
          <w:lang w:val="nl-NL"/>
        </w:rPr>
      </w:pPr>
      <w:r>
        <w:rPr>
          <w:lang w:val="nl-NL"/>
        </w:rPr>
        <w:t>Het orgel stond oorspronkelijk geheel vrij op de koorzolder van de voormalige, door P.J.H.Cuypers ontworpen kerk. De klaviatuur bevond zich in die opstelling aan de rechterzijde.</w:t>
      </w:r>
    </w:p>
    <w:p>
      <w:pPr>
        <w:pStyle w:val="T1"/>
        <w:jc w:val="start"/>
        <w:rPr>
          <w:lang w:val="nl-NL"/>
        </w:rPr>
      </w:pPr>
      <w:r>
        <w:rPr>
          <w:lang w:val="nl-NL"/>
        </w:rPr>
        <w:t>De gehele inwendige ordening van het orgel bleef in 1966 ongewijzigd. De positie van de lade ten opzichte van de klaviatuur en de aanleg van de speel- en registermechanieken is nog geheel authentiek.</w:t>
      </w:r>
    </w:p>
    <w:p>
      <w:pPr>
        <w:pStyle w:val="T1"/>
        <w:jc w:val="start"/>
        <w:rPr>
          <w:lang w:val="nl-NL"/>
        </w:rPr>
      </w:pPr>
      <w:r>
        <w:rPr>
          <w:lang w:val="nl-NL"/>
        </w:rPr>
        <w:t>De oorspronkelijke magazijnbalg met twee schepbalgen en handpomp was in de onderkas geplaatst. Op die plaats is nu de moderne kleinere balg aanwezig. Het windkanaal is van eiken en stamt nog uit 1878.</w:t>
      </w:r>
    </w:p>
    <w:p>
      <w:pPr>
        <w:pStyle w:val="T1"/>
        <w:jc w:val="start"/>
        <w:rPr>
          <w:lang w:val="nl-NL"/>
        </w:rPr>
      </w:pPr>
      <w:r>
        <w:rPr>
          <w:lang w:val="nl-NL"/>
        </w:rPr>
        <w:t>Het handklavier is een eiken staartklavier. De registerknoppen zijn in een horizontale rij boven de lessenaar geplaatst. De namen zijn op een houten strip geschilderd. De eiken lessenaar is oud. Het pedaalklavier is authentiek, de oorspronkelijke orgelbank ontbreekt.</w:t>
      </w:r>
    </w:p>
    <w:p>
      <w:pPr>
        <w:pStyle w:val="T1"/>
        <w:jc w:val="start"/>
        <w:rPr/>
      </w:pPr>
      <w:r>
        <w:rPr>
          <w:lang w:val="nl-NL"/>
        </w:rPr>
        <w:t>De eiken windlade heeft twee opliggende voorslagen die nu direct achter het front liggen. De nog authentieke registervolgorde gaat nu vanaf de Prestant 8' (op een kantsleep) als achterste register naar de Roerfluit 4' direct achter het front. De cancelvolgorde is als volgt: A (hele tonen) h</w:t>
      </w:r>
      <w:r>
        <w:rPr>
          <w:vertAlign w:val="superscript"/>
          <w:lang w:val="nl-NL"/>
        </w:rPr>
        <w:t>2</w:t>
      </w:r>
      <w:r>
        <w:rPr>
          <w:lang w:val="nl-NL"/>
        </w:rPr>
        <w:t xml:space="preserve"> G F Dis Cis C D E Fis f</w:t>
      </w:r>
      <w:r>
        <w:rPr>
          <w:vertAlign w:val="superscript"/>
          <w:lang w:val="nl-NL"/>
        </w:rPr>
        <w:t>3</w:t>
      </w:r>
      <w:r>
        <w:rPr>
          <w:lang w:val="nl-NL"/>
        </w:rPr>
        <w:t xml:space="preserve"> (chromatisch) c</w:t>
      </w:r>
      <w:r>
        <w:rPr>
          <w:vertAlign w:val="superscript"/>
          <w:lang w:val="nl-NL"/>
        </w:rPr>
        <w:t>3</w:t>
      </w:r>
      <w:r>
        <w:rPr>
          <w:lang w:val="nl-NL"/>
        </w:rPr>
        <w:t xml:space="preserve"> b</w:t>
      </w:r>
      <w:r>
        <w:rPr>
          <w:vertAlign w:val="superscript"/>
          <w:lang w:val="nl-NL"/>
        </w:rPr>
        <w:t>2</w:t>
      </w:r>
      <w:r>
        <w:rPr>
          <w:lang w:val="nl-NL"/>
        </w:rPr>
        <w:t xml:space="preserve"> (hele tonen) Gis.</w:t>
      </w:r>
    </w:p>
    <w:p>
      <w:pPr>
        <w:pStyle w:val="T1"/>
        <w:jc w:val="start"/>
        <w:rPr/>
      </w:pPr>
      <w:r>
        <w:rPr>
          <w:lang w:val="nl-NL"/>
        </w:rPr>
        <w:t>C-Dis van de Prestant 8' zijn open metalen binnenpijpen, E-gis staan in het front, het vervolg staat op de lade. C-G van de Holpijp 8' zijn van eiken. De Viool de Gambe 8' is van C-H gecombineerd met de Holpijp, vanaf c is het register van tin. De Quintfluit 3' is van C-Gis gedekt en vervolgens open, cilindrisch. De Roerfluit 4' is van C-H gedekt en vanaf gis</w:t>
      </w:r>
      <w:r>
        <w:rPr>
          <w:vertAlign w:val="superscript"/>
          <w:lang w:val="nl-NL"/>
        </w:rPr>
        <w:t>2</w:t>
      </w:r>
      <w:r>
        <w:rPr>
          <w:lang w:val="nl-NL"/>
        </w:rPr>
        <w:t xml:space="preserve"> open, licht conisch.</w:t>
      </w:r>
    </w:p>
    <w:p>
      <w:pPr>
        <w:pStyle w:val="T1"/>
        <w:jc w:val="start"/>
        <w:rPr/>
      </w:pPr>
      <w:r>
        <w:rPr>
          <w:lang w:val="nl-NL"/>
        </w:rPr>
        <w:t>Expressions komen voor bij de Prestant 8' (C-Dis en a-a</w:t>
      </w:r>
      <w:r>
        <w:rPr>
          <w:vertAlign w:val="superscript"/>
          <w:lang w:val="nl-NL"/>
        </w:rPr>
        <w:t>2</w:t>
      </w:r>
      <w:r>
        <w:rPr>
          <w:lang w:val="nl-NL"/>
        </w:rPr>
        <w:t>), de Viool de Gambe 8'  (geheel), de Octaaf 4' (C-h)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2006-04-25T12:30:00Z</dcterms:created>
  <dc:creator>WS1</dc:creator>
  <dc:description/>
  <dc:language>en-US</dc:language>
  <cp:lastModifiedBy>WS1</cp:lastModifiedBy>
  <dcterms:modified xsi:type="dcterms:W3CDTF">2006-04-25T12:30:00Z</dcterms:modified>
  <cp:revision>2</cp:revision>
  <dc:subject/>
  <dc:title>Wijtgaard (Wytgaard) / 1882</dc:title>
</cp:coreProperties>
</file>