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Den Andel / 1879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Eenbeukige kerk met recht gesloten koor en vrijstaande toren, waarschijnlijk uit het midden van de 13e eeuw. Inwendig ribloze meloenvormige koepelgewelven met enige schilderingen. Preekstoel uit 1792.</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Dit door de gebroeders Van Oeckelen gebouwde orgel heeft een front dat een variant is van een door hun (in 1878 overleden) vader ontwikkeld model. Dit was op zijn beurt weer een variant van diens model Maurik (1867, deel 1865-1872, 117-119) en werd door hem toegepast in Burum en Noordlaren (beide 1876, deel 1872-1878, 261-262 en 291-292).</w:t>
      </w:r>
    </w:p>
    <w:p>
      <w:pPr>
        <w:pStyle w:val="T2Kunst"/>
        <w:jc w:val="start"/>
        <w:rPr>
          <w:lang w:val="nl-NL"/>
        </w:rPr>
      </w:pPr>
      <w:r>
        <w:rPr>
          <w:lang w:val="nl-NL"/>
        </w:rPr>
        <w:t>Wij zien ook hier een zevendelige opbouw met een ronde middentoren, torenvelden met twee pijpen, gedeelde tussenvelden en ronde zijtorens. Er zijn echter verschillen. In Noordlaren hebben middentoren en torenvelden, in afwijking van Burum, enigszins verhoogde frontstokken. Deze laten de zonen hier achterwege. In Burum en Noordlaren worden de torenvelden afgesloten door horizontale lijsten, in Den Andel zijn de bovenlijsten harpvormig, zoals in hun vaders orgel te Ruinerwold (1872, deel 1872-1878, 67-68). Ten slotte zijn de tussenvelden hier vlak en niet hol, zoals bij beide genoemde orgels van Petrus van Oeckelen.</w:t>
      </w:r>
    </w:p>
    <w:p>
      <w:pPr>
        <w:pStyle w:val="T2Kunst"/>
        <w:jc w:val="start"/>
        <w:rPr>
          <w:lang w:val="nl-NL"/>
        </w:rPr>
      </w:pPr>
      <w:r>
        <w:rPr>
          <w:lang w:val="nl-NL"/>
        </w:rPr>
        <w:t>De decoratie is sober en wat aan de grove kant; zij bestaat hoofdzakelijk uit S-ranken. Aan de pijpuiteinden in de torens ziet men transparante voluutmotieven. Boven de tussenvelden is een rank aangebracht die draperie-achtig over het pijpveld hangt.</w:t>
      </w:r>
    </w:p>
    <w:p>
      <w:pPr>
        <w:pStyle w:val="T2Kunst"/>
        <w:jc w:val="start"/>
        <w:rPr>
          <w:lang w:val="nl-NL"/>
        </w:rPr>
      </w:pPr>
      <w:r>
        <w:rPr>
          <w:lang w:val="nl-NL"/>
        </w:rPr>
        <w:t>Op de middentoren is een lier aangebracht. Op de stijlen tussen toren- en tussenvelden is een in bladwerk gevatte bol te zien. Op de zijtorens bevinden zich bazuinblazende putti.</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1 Hunsingo</w:t>
      </w:r>
      <w:r>
        <w:rPr>
          <w:lang w:val="nl-NL"/>
        </w:rPr>
        <w:t>. Groningen, 1994, 24-25.</w:t>
      </w:r>
    </w:p>
    <w:p>
      <w:pPr>
        <w:pStyle w:val="T3Lit"/>
        <w:jc w:val="start"/>
        <w:rPr/>
      </w:pPr>
      <w:r>
        <w:rPr>
          <w:lang w:val="nl-NL"/>
        </w:rPr>
        <w:t xml:space="preserve">Dirk Molenaar, 'Twee Van Oeckelenorgels op het Groninger Hogeland', </w:t>
      </w:r>
      <w:r>
        <w:rPr>
          <w:i/>
          <w:iCs/>
          <w:lang w:val="nl-NL"/>
        </w:rPr>
        <w:t>De Orgelvriend</w:t>
      </w:r>
      <w:r>
        <w:rPr>
          <w:lang w:val="nl-NL"/>
        </w:rPr>
        <w:t xml:space="preserve">, 39/4 (1995), 10-14. </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 xml:space="preserve">A. Bouman </w:t>
      </w:r>
      <w:r>
        <w:rPr>
          <w:i/>
          <w:iCs/>
          <w:lang w:val="nl-NL"/>
        </w:rPr>
        <w:t>Dispositiecahier VI.</w:t>
      </w:r>
    </w:p>
    <w:p>
      <w:pPr>
        <w:pStyle w:val="T3Lit"/>
        <w:jc w:val="start"/>
        <w:rPr>
          <w:lang w:val="nl-NL"/>
        </w:rPr>
      </w:pPr>
      <w:r>
        <w:rPr>
          <w:lang w:val="nl-NL"/>
        </w:rPr>
        <w:t>Archief Mense Ruiter orgelmakers.</w:t>
      </w:r>
    </w:p>
    <w:p>
      <w:pPr>
        <w:pStyle w:val="T3Lit"/>
        <w:jc w:val="start"/>
        <w:rPr>
          <w:lang w:val="nl-NL"/>
        </w:rPr>
      </w:pPr>
      <w:r>
        <w:rPr>
          <w:lang w:val="nl-NL"/>
        </w:rPr>
        <w:t>Orgelarchief Peter van Dijk.</w:t>
      </w:r>
    </w:p>
    <w:p>
      <w:pPr>
        <w:pStyle w:val="T3Lit"/>
        <w:jc w:val="start"/>
        <w:rPr>
          <w:lang w:val="nl-NL"/>
        </w:rPr>
      </w:pPr>
      <w:r>
        <w:rPr>
          <w:lang w:val="nl-NL"/>
        </w:rPr>
        <w:t>Orgelarchief Dirk Molenaar.</w:t>
      </w:r>
    </w:p>
    <w:p>
      <w:pPr>
        <w:pStyle w:val="T3Lit"/>
        <w:jc w:val="start"/>
        <w:rPr>
          <w:lang w:val="nl-NL"/>
        </w:rPr>
      </w:pPr>
      <w:r>
        <w:rPr>
          <w:lang w:val="nl-NL"/>
        </w:rPr>
      </w:r>
    </w:p>
    <w:p>
      <w:pPr>
        <w:pStyle w:val="T3Lit"/>
        <w:jc w:val="start"/>
        <w:rPr>
          <w:lang w:val="nl-NL"/>
        </w:rPr>
      </w:pPr>
      <w:r>
        <w:rPr>
          <w:lang w:val="nl-NL"/>
        </w:rPr>
        <w:t>Monumentnummer 8582</w:t>
      </w:r>
    </w:p>
    <w:p>
      <w:pPr>
        <w:pStyle w:val="T3Lit"/>
        <w:jc w:val="start"/>
        <w:rPr>
          <w:lang w:val="nl-NL"/>
        </w:rPr>
      </w:pPr>
      <w:r>
        <w:rPr>
          <w:lang w:val="nl-NL"/>
        </w:rPr>
        <w:t>Orgelnummer 318</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handgreep pompinstallatie afgezaagd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Gedakt</w:t>
            </w:r>
          </w:p>
          <w:p>
            <w:pPr>
              <w:pStyle w:val="T4dispositie"/>
              <w:jc w:val="start"/>
              <w:rPr>
                <w:lang w:val="nl-NL"/>
              </w:rPr>
            </w:pPr>
            <w:r>
              <w:rPr>
                <w:lang w:val="nl-NL"/>
              </w:rPr>
              <w:t>Viola di Gamba</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Trompet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aanneemsom bedroeg 2100 gulden. De kas is geschilderd in een mahonie-imitatie.</w:t>
      </w:r>
    </w:p>
    <w:p>
      <w:pPr>
        <w:pStyle w:val="T1"/>
        <w:jc w:val="start"/>
        <w:rPr>
          <w:lang w:val="nl-NL"/>
        </w:rPr>
      </w:pPr>
      <w:r>
        <w:rPr>
          <w:lang w:val="nl-NL"/>
        </w:rPr>
        <w:t>De registertrekkers zijn in een horizontale rij aangebracht boven de muzieklessenaar. De porseleinen registeropschriften zijn op de registerknoppen gelijmd. De bakstukken van het manuaal zijn van het bij Van Oeckelen gebruikelijke model, belegd met ivoor en ebbenhout.</w:t>
      </w:r>
    </w:p>
    <w:p>
      <w:pPr>
        <w:pStyle w:val="T1"/>
        <w:jc w:val="start"/>
        <w:rPr>
          <w:lang w:val="nl-NL"/>
        </w:rPr>
      </w:pPr>
      <w:r>
        <w:rPr>
          <w:lang w:val="nl-NL"/>
        </w:rPr>
        <w:t>Op de windlade staat het pijpwerk opgesteld in C- en Cis-kant, in hoogte vanuit het midden naar de zijkanten aflopend. De windlade heeft voorslagen met ronde, versierde palmhouten schroeven.</w:t>
      </w:r>
    </w:p>
    <w:p>
      <w:pPr>
        <w:pStyle w:val="T1"/>
        <w:jc w:val="start"/>
        <w:rPr>
          <w:lang w:val="nl-NL"/>
        </w:rPr>
      </w:pPr>
      <w:r>
        <w:rPr>
          <w:lang w:val="nl-NL"/>
        </w:rPr>
        <w:t>De Prestant 8' staat van C-h in het front, het vervolg staat op de lade. De Violoncel 8' en de Trompet 8' beginnen beide op c. Van de Viola di Gamba is C-H gecombineerd met de Gedakt 8'.</w:t>
      </w:r>
    </w:p>
    <w:p>
      <w:pPr>
        <w:pStyle w:val="T1"/>
        <w:jc w:val="start"/>
        <w:rPr/>
      </w:pPr>
      <w:r>
        <w:rPr>
          <w:lang w:val="nl-NL"/>
        </w:rPr>
        <w:t>Eiken pijpwerk bevindt zich in de Bourdon 16' (C-h) en de Gedakt 8' (C-H). De Fluit 4' is gedekt van C-fis</w:t>
      </w:r>
      <w:r>
        <w:rPr>
          <w:vertAlign w:val="superscript"/>
          <w:lang w:val="nl-NL"/>
        </w:rPr>
        <w:t>2</w:t>
      </w:r>
      <w:r>
        <w:rPr>
          <w:lang w:val="nl-NL"/>
        </w:rPr>
        <w:t>, het vervolg is open, conisch. De Woudfluit 2' is van C-H gedekt, het vervolg is open, cilindrisch.</w:t>
      </w:r>
    </w:p>
    <w:p>
      <w:pPr>
        <w:pStyle w:val="T1"/>
        <w:jc w:val="start"/>
        <w:rPr>
          <w:lang w:val="nl-NL"/>
        </w:rPr>
      </w:pPr>
      <w:r>
        <w:rPr>
          <w:lang w:val="nl-NL"/>
        </w:rPr>
        <w:t>Behoudens de handgreep (deels) voor de schepbalgen, de frontons van de ondertoetsen en enig verdwenen inlegwerk van de bakstukken, is dit orgel gaaf bewaard gebleven.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2006-04-25T12:33:00Z</dcterms:created>
  <dc:creator>WS1</dc:creator>
  <dc:description/>
  <dc:language>en-US</dc:language>
  <cp:lastModifiedBy>WS1</cp:lastModifiedBy>
  <dcterms:modified xsi:type="dcterms:W3CDTF">2006-04-25T12:33:00Z</dcterms:modified>
  <cp:revision>2</cp:revision>
  <dc:subject/>
  <dc:title>Den Andel / 1879</dc:title>
</cp:coreProperties>
</file>