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Den Burg / 1879</w:t>
      </w:r>
    </w:p>
    <w:p>
      <w:pPr>
        <w:pStyle w:val="Heading2"/>
        <w:rPr>
          <w:i w:val="false"/>
          <w:i w:val="false"/>
          <w:iCs/>
        </w:rPr>
      </w:pPr>
      <w:r>
        <w:rPr>
          <w:i w:val="false"/>
          <w:iCs/>
        </w:rPr>
        <w:t>R.K. Kerk St-Jan de Doper</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Romaniserende pseudobasiliek met gedeeltelijk ingebouwde toren, gebouwd 1862-1863 naar ontwerp van Th. Molkenboer. In 1912 vergroot met een transept en een nieuw koor. Inwendig gestucte tongewelven.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versoberde versie van het neogotische front van het orgel te Sint Nicolaasga uit 1871 (deel 1865-1872, 356-358). Ook hier een trapeziumvormige middentoren, ongedeelde vlakke tussenvelden met verhoogde frontstokken en luchtboogachtige bovenlijsten met hogels, spitse zijtorens en smalle tweedelige zijvelden met verhoogde pijpstokken.</w:t>
      </w:r>
    </w:p>
    <w:p>
      <w:pPr>
        <w:pStyle w:val="T2Kunst"/>
        <w:jc w:val="start"/>
        <w:rPr/>
      </w:pPr>
      <w:r>
        <w:rPr/>
        <w:t>De decoratie is eenvoudiger dan in Sint Nicolaasga. Blinderingen aan de pijpvoeten in de velden ontbreken. In de torens zijn daar eenvoudige tootlijsten aangebracht. De torens hebben blinderingen in de vorm van driepasbogen die worden bekroond door wimbergen die de overgang vormen naar de opengewerkte spitsen met pinakels. De tussenvelden hebben aan de pijpuiteinden eenvoudige tootbogen. De zijvelden worden beide afgesloten door driepasbogen, bij het bovenste veld met een wimberg. De panelen onder de verhoogde pijpstokken van de tussenvelden zijn versierd met staande vierpassen. Bij de zijvelden vindt men daar liggende puntige vierpassen. Fraai zijn de consoles onder de torens met hun neogotisch bladwerk. De vleugelstukken bestaan uit wat onduidelijke, bijna vegetatieve vormen. Bijzonder aardig detail is het draakje dat iets daarboven naar opzij blikt.</w:t>
      </w:r>
    </w:p>
    <w:p>
      <w:pPr>
        <w:pStyle w:val="T2Kunst"/>
        <w:jc w:val="start"/>
        <w:rPr/>
      </w:pPr>
      <w:r>
        <w:rPr/>
        <w:t>Na het experiment met het neogotische front in Rijpwetering (1874, deel 1872-1878, 164-167) is Ypma hier weer tot het oudere model Akersloot/Sint Nicolaasga teruggekeerd. Of dit front ook nog door atelier Veneman is vervaardigd, is onzeker. In deze tijd werkte Ypma veel samen met het atelier Goossens in 's-Hertogenbosch.</w:t>
      </w:r>
    </w:p>
    <w:p>
      <w:pPr>
        <w:pStyle w:val="T1"/>
        <w:jc w:val="start"/>
        <w:rPr>
          <w:lang w:val="nl-NL"/>
        </w:rPr>
      </w:pPr>
      <w:r>
        <w:rPr>
          <w:lang w:val="nl-NL"/>
        </w:rPr>
      </w:r>
    </w:p>
    <w:p>
      <w:pPr>
        <w:pStyle w:val="T3Lit"/>
        <w:rPr>
          <w:b/>
          <w:b/>
          <w:bCs/>
          <w:lang w:val="nl-NL"/>
        </w:rPr>
      </w:pPr>
      <w:r>
        <w:rPr>
          <w:b/>
          <w:bCs/>
          <w:lang w:val="nl-NL"/>
        </w:rPr>
        <w:t>Literatuur</w:t>
      </w:r>
    </w:p>
    <w:p>
      <w:pPr>
        <w:pStyle w:val="T3Lit"/>
        <w:rPr>
          <w:i/>
          <w:i/>
          <w:iCs/>
          <w:lang w:val="nl-NL"/>
        </w:rPr>
      </w:pPr>
      <w:r>
        <w:rPr>
          <w:i/>
          <w:iCs/>
          <w:lang w:val="nl-NL"/>
        </w:rPr>
        <w:t>Fotokaart De Mixtuur.</w:t>
      </w:r>
    </w:p>
    <w:p>
      <w:pPr>
        <w:pStyle w:val="T3Lit"/>
        <w:rPr/>
      </w:pPr>
      <w:r>
        <w:rPr>
          <w:lang w:val="nl-NL"/>
        </w:rPr>
        <w:t xml:space="preserve">Jan Jongepier, ‘Drie gerestaureerde Ypma-orgels’. </w:t>
      </w:r>
      <w:r>
        <w:rPr>
          <w:i/>
          <w:lang w:val="nl-NL"/>
        </w:rPr>
        <w:t>Het Orgel</w:t>
      </w:r>
      <w:r>
        <w:rPr>
          <w:lang w:val="nl-NL"/>
        </w:rPr>
        <w:t>, 81/10 (1985), 451-454.</w:t>
      </w:r>
    </w:p>
    <w:p>
      <w:pPr>
        <w:pStyle w:val="T3Lit"/>
        <w:jc w:val="start"/>
        <w:rPr/>
      </w:pPr>
      <w:r>
        <w:rPr>
          <w:lang w:val="nl-NL"/>
        </w:rPr>
        <w:t xml:space="preserve">Jan Jongepier, Hans van Nieuwkoop, Willem Poot, </w:t>
      </w:r>
      <w:r>
        <w:rPr>
          <w:i/>
          <w:lang w:val="nl-NL"/>
        </w:rPr>
        <w:t>Orgels in Noord-Holland</w:t>
      </w:r>
      <w:r>
        <w:rPr>
          <w:lang w:val="nl-NL"/>
        </w:rPr>
        <w:t>. Schoorl, z.j. [1996], 237.</w:t>
      </w:r>
    </w:p>
    <w:p>
      <w:pPr>
        <w:pStyle w:val="T3Lit"/>
        <w:rPr/>
      </w:pPr>
      <w:r>
        <w:rPr>
          <w:i/>
          <w:lang w:val="nl-NL"/>
        </w:rPr>
        <w:t>De Mixtuur</w:t>
      </w:r>
      <w:r>
        <w:rPr>
          <w:lang w:val="nl-NL"/>
        </w:rPr>
        <w:t>, 49 (1985), 774.</w:t>
      </w:r>
    </w:p>
    <w:p>
      <w:pPr>
        <w:pStyle w:val="T3Lit"/>
        <w:rPr/>
      </w:pPr>
      <w:r>
        <w:rPr>
          <w:i/>
          <w:lang w:val="nl-NL"/>
        </w:rPr>
        <w:t>Het Orgel</w:t>
      </w:r>
      <w:r>
        <w:rPr>
          <w:lang w:val="nl-NL"/>
        </w:rPr>
        <w:t>, 80/11 (1984), 468.</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Wim Loos, </w:t>
      </w:r>
      <w:r>
        <w:rPr>
          <w:i/>
          <w:iCs/>
          <w:lang w:val="nl-NL"/>
        </w:rPr>
        <w:t>Inleiding tot het werk van de orgelmakers Ypma</w:t>
      </w:r>
      <w:r>
        <w:rPr>
          <w:lang w:val="nl-NL"/>
        </w:rPr>
        <w:t>. Utrecht, 1990, 90.</w:t>
      </w:r>
    </w:p>
    <w:p>
      <w:pPr>
        <w:pStyle w:val="T3Lit"/>
        <w:rPr>
          <w:lang w:val="nl-NL"/>
        </w:rPr>
      </w:pPr>
      <w:r>
        <w:rPr>
          <w:lang w:val="nl-NL"/>
        </w:rPr>
      </w:r>
    </w:p>
    <w:p>
      <w:pPr>
        <w:pStyle w:val="T3Lit"/>
        <w:rPr>
          <w:lang w:val="nl-NL"/>
        </w:rPr>
      </w:pPr>
      <w:r>
        <w:rPr>
          <w:lang w:val="nl-NL"/>
        </w:rPr>
        <w:t>Monumentnummer 35317</w:t>
      </w:r>
    </w:p>
    <w:p>
      <w:pPr>
        <w:pStyle w:val="T3Lit"/>
        <w:rPr>
          <w:lang w:val="nl-NL"/>
        </w:rPr>
      </w:pPr>
      <w:r>
        <w:rPr>
          <w:lang w:val="nl-NL"/>
        </w:rPr>
        <w:t>Orgelnummer 321</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Ypma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1879</w:t>
      </w:r>
    </w:p>
    <w:p>
      <w:pPr>
        <w:pStyle w:val="T1"/>
        <w:jc w:val="start"/>
        <w:rPr>
          <w:lang w:val="nl-NL"/>
        </w:rPr>
      </w:pPr>
      <w:r>
        <w:rPr>
          <w:lang w:val="nl-NL"/>
        </w:rPr>
      </w:r>
    </w:p>
    <w:p>
      <w:pPr>
        <w:pStyle w:val="T1"/>
        <w:jc w:val="start"/>
        <w:rPr>
          <w:lang w:val="nl-NL"/>
        </w:rPr>
      </w:pPr>
      <w:r>
        <w:rPr>
          <w:lang w:val="nl-NL"/>
        </w:rPr>
        <w:t>B. Pels &amp; Zn 1965</w:t>
      </w:r>
    </w:p>
    <w:p>
      <w:pPr>
        <w:pStyle w:val="T1"/>
        <w:jc w:val="start"/>
        <w:rPr>
          <w:lang w:val="nl-NL"/>
        </w:rPr>
      </w:pPr>
      <w:r>
        <w:rPr>
          <w:lang w:val="nl-NL"/>
        </w:rPr>
        <w:t>.</w:t>
        <w:tab/>
        <w:t>kas wit geschilderd</w:t>
      </w:r>
    </w:p>
    <w:p>
      <w:pPr>
        <w:pStyle w:val="T1"/>
        <w:jc w:val="start"/>
        <w:rPr>
          <w:lang w:val="nl-NL"/>
        </w:rPr>
      </w:pPr>
      <w:r>
        <w:rPr>
          <w:lang w:val="nl-NL"/>
        </w:rPr>
        <w:t>.</w:t>
        <w:tab/>
        <w:t>mechanieken gereviseerd en deels vervangen</w:t>
      </w:r>
    </w:p>
    <w:p>
      <w:pPr>
        <w:pStyle w:val="T1"/>
        <w:jc w:val="start"/>
        <w:rPr>
          <w:lang w:val="nl-NL"/>
        </w:rPr>
      </w:pPr>
      <w:r>
        <w:rPr>
          <w:lang w:val="nl-NL"/>
        </w:rPr>
        <w:t>.</w:t>
        <w:tab/>
        <w:t>enkele registers zachter geïntoneerd</w:t>
      </w:r>
    </w:p>
    <w:p>
      <w:pPr>
        <w:pStyle w:val="T1"/>
        <w:jc w:val="start"/>
        <w:rPr>
          <w:lang w:val="nl-NL"/>
        </w:rPr>
      </w:pPr>
      <w:r>
        <w:rPr>
          <w:lang w:val="nl-NL"/>
        </w:rPr>
      </w:r>
    </w:p>
    <w:p>
      <w:pPr>
        <w:pStyle w:val="T1"/>
        <w:jc w:val="start"/>
        <w:rPr>
          <w:lang w:val="nl-NL"/>
        </w:rPr>
      </w:pPr>
      <w:r>
        <w:rPr>
          <w:lang w:val="nl-NL"/>
        </w:rPr>
        <w:t>Jos. Vermeulen 1984</w:t>
      </w:r>
    </w:p>
    <w:p>
      <w:pPr>
        <w:pStyle w:val="T1"/>
        <w:jc w:val="start"/>
        <w:rPr>
          <w:lang w:val="nl-NL"/>
        </w:rPr>
      </w:pPr>
      <w:r>
        <w:rPr>
          <w:lang w:val="nl-NL"/>
        </w:rPr>
        <w:t>.</w:t>
        <w:tab/>
        <w:t>restauratie</w:t>
      </w:r>
    </w:p>
    <w:p>
      <w:pPr>
        <w:pStyle w:val="T1"/>
        <w:numPr>
          <w:ilvl w:val="0"/>
          <w:numId w:val="2"/>
        </w:numPr>
        <w:jc w:val="start"/>
        <w:rPr>
          <w:lang w:val="nl-NL"/>
        </w:rPr>
      </w:pPr>
      <w:r>
        <w:rPr>
          <w:lang w:val="nl-NL"/>
        </w:rPr>
        <w:t>mechanieken min of meer in oorspronkelijke staat teruggebracht, met moderne wellenarmpjes en dokken met kunststof oogjes</w:t>
      </w:r>
    </w:p>
    <w:p>
      <w:pPr>
        <w:pStyle w:val="T1"/>
        <w:jc w:val="start"/>
        <w:rPr>
          <w:lang w:val="nl-NL"/>
        </w:rPr>
      </w:pPr>
      <w:r>
        <w:rPr>
          <w:lang w:val="nl-NL"/>
        </w:rPr>
        <w:t>.</w:t>
        <w:tab/>
        <w:t>oorspronkelijk klankbeeld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 (zonder eigen registers)</w:t>
      </w:r>
    </w:p>
    <w:p>
      <w:pPr>
        <w:pStyle w:val="T1"/>
        <w:jc w:val="start"/>
        <w:rPr>
          <w:lang w:val="nl-NL"/>
        </w:rPr>
      </w:pPr>
      <w:r>
        <w:rPr>
          <w:lang w:val="nl-NL"/>
        </w:rPr>
      </w:r>
    </w:p>
    <w:p>
      <w:pPr>
        <w:pStyle w:val="T1"/>
        <w:jc w:val="start"/>
        <w:rPr/>
      </w:pPr>
      <w:r>
        <w:rPr/>
        <w:t>Dispositie</w:t>
      </w:r>
    </w:p>
    <w:tbl>
      <w:tblPr>
        <w:tblW w:w="4892" w:type="dxa"/>
        <w:jc w:val="start"/>
        <w:tblInd w:w="-70" w:type="dxa"/>
        <w:tblLayout w:type="fixed"/>
        <w:tblCellMar>
          <w:top w:w="0" w:type="dxa"/>
          <w:start w:w="70" w:type="dxa"/>
          <w:bottom w:w="0" w:type="dxa"/>
          <w:end w:w="70" w:type="dxa"/>
        </w:tblCellMar>
      </w:tblPr>
      <w:tblGrid>
        <w:gridCol w:w="1600"/>
        <w:gridCol w:w="1019"/>
        <w:gridCol w:w="1898"/>
        <w:gridCol w:w="375"/>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11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Salicet</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101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2-3-4 st.*</w:t>
            </w:r>
          </w:p>
          <w:p>
            <w:pPr>
              <w:pStyle w:val="T4dispositie"/>
              <w:rPr>
                <w:lang w:val="nl-NL"/>
              </w:rPr>
            </w:pPr>
            <w:r>
              <w:rPr>
                <w:lang w:val="nl-NL"/>
              </w:rPr>
              <w:t>4 st.</w:t>
            </w:r>
          </w:p>
          <w:p>
            <w:pPr>
              <w:pStyle w:val="T4dispositie"/>
              <w:rPr>
                <w:lang w:val="nl-NL"/>
              </w:rPr>
            </w:pPr>
            <w:r>
              <w:rPr>
                <w:lang w:val="nl-NL"/>
              </w:rPr>
              <w:t>8'</w:t>
            </w:r>
          </w:p>
        </w:tc>
        <w:tc>
          <w:tcPr>
            <w:tcW w:w="1898" w:type="dxa"/>
            <w:tcBorders/>
          </w:tcPr>
          <w:p>
            <w:pPr>
              <w:pStyle w:val="T4dispositie"/>
              <w:rPr>
                <w:i/>
                <w:i/>
                <w:iCs/>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Flûte harmonique</w:t>
            </w:r>
          </w:p>
          <w:p>
            <w:pPr>
              <w:pStyle w:val="T4dispositie"/>
              <w:rPr>
                <w:lang w:val="nl-NL"/>
              </w:rPr>
            </w:pPr>
            <w:r>
              <w:rPr>
                <w:lang w:val="nl-NL"/>
              </w:rPr>
              <w:t>Speelfluit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4dispositie"/>
        <w:rPr/>
      </w:pPr>
      <w:r>
        <w:rPr/>
      </w:r>
    </w:p>
    <w:p>
      <w:pPr>
        <w:pStyle w:val="T4dispositie"/>
        <w:rPr/>
      </w:pPr>
      <w:r>
        <w:rPr/>
        <w:t>* in werkelijkheid 2-5 st.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klavierkoppel, pedaalkoppel</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4646" w:type="dxa"/>
        <w:jc w:val="start"/>
        <w:tblInd w:w="-70" w:type="dxa"/>
        <w:tblLayout w:type="fixed"/>
        <w:tblCellMar>
          <w:top w:w="0" w:type="dxa"/>
          <w:start w:w="70" w:type="dxa"/>
          <w:bottom w:w="0" w:type="dxa"/>
          <w:end w:w="70" w:type="dxa"/>
        </w:tblCellMar>
      </w:tblPr>
      <w:tblGrid>
        <w:gridCol w:w="1023"/>
        <w:gridCol w:w="729"/>
        <w:gridCol w:w="729"/>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3</w:t>
            </w:r>
          </w:p>
          <w:p>
            <w:pPr>
              <w:pStyle w:val="T4dispositie"/>
              <w:rPr/>
            </w:pPr>
            <w:r>
              <w:rPr/>
              <w:t>8</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(1879)</w:t>
      </w:r>
    </w:p>
    <w:p>
      <w:pPr>
        <w:pStyle w:val="T1"/>
        <w:jc w:val="start"/>
        <w:rPr>
          <w:lang w:val="nl-NL"/>
        </w:rPr>
      </w:pPr>
      <w:r>
        <w:rPr>
          <w:lang w:val="nl-NL"/>
        </w:rPr>
        <w:t>Winddruk</w:t>
      </w:r>
    </w:p>
    <w:p>
      <w:pPr>
        <w:pStyle w:val="T1"/>
        <w:jc w:val="start"/>
        <w:rPr>
          <w:lang w:val="nl-NL"/>
        </w:rPr>
      </w:pPr>
      <w:r>
        <w:rPr>
          <w:lang w:val="nl-NL"/>
        </w:rPr>
        <w:t>80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windladen zijn van eiken, evenals het houten pijpwerk. De gedekte metalen labialen hebben rondgeritste boven- en onderlabia; bij de open labiaalpijpen zijn de bovenlabia spitsgeritst.</w:t>
      </w:r>
    </w:p>
    <w:p>
      <w:pPr>
        <w:pStyle w:val="T1"/>
        <w:jc w:val="start"/>
        <w:rPr/>
      </w:pPr>
      <w:r>
        <w:rPr>
          <w:lang w:val="nl-NL"/>
        </w:rPr>
        <w:t>De bas van de Bourdon 16' is van eiken, de discant is van metaal en voorzien van zijbaarden. De Prestant 8' staat van C-f in het front, het vervolg staat op de lade. C-H van de beide Holpijpen 8' zijn van eiken, het vervolg is van metaal. De Fluit 4' is van C-h</w:t>
      </w:r>
      <w:r>
        <w:rPr>
          <w:vertAlign w:val="superscript"/>
          <w:lang w:val="nl-NL"/>
        </w:rPr>
        <w:t>1</w:t>
      </w:r>
      <w:r>
        <w:rPr>
          <w:lang w:val="nl-NL"/>
        </w:rPr>
        <w:t xml:space="preserve"> gedekt, het vervolg open, conisch. Het acht-voets koor van de Cornet is gedekt. De Trompet 8' heeft enkele koppen en Duitse kelen. In de bekers zijn intonatieslitsen aangebracht.</w:t>
      </w:r>
    </w:p>
    <w:p>
      <w:pPr>
        <w:pStyle w:val="T1"/>
        <w:jc w:val="start"/>
        <w:rPr/>
      </w:pPr>
      <w:r>
        <w:rPr>
          <w:lang w:val="nl-NL"/>
        </w:rPr>
        <w:t>Op het BW is de Viola di Gamba 8' van C-H gecombineerd met de Holpijp. De Roerfluit 4' is vanaf c</w:t>
      </w:r>
      <w:r>
        <w:rPr>
          <w:vertAlign w:val="superscript"/>
          <w:lang w:val="nl-NL"/>
        </w:rPr>
        <w:t>2</w:t>
      </w:r>
      <w:r>
        <w:rPr>
          <w:lang w:val="nl-NL"/>
        </w:rPr>
        <w:t xml:space="preserve"> open, conisch. De Flûte harmonique 4' is vanaf c overblazend. De Speelfluit 2' is open, conisch.</w:t>
      </w:r>
    </w:p>
    <w:p>
      <w:pPr>
        <w:pStyle w:val="T1"/>
        <w:jc w:val="start"/>
        <w:rPr/>
      </w:pPr>
      <w:r>
        <w:rPr>
          <w:lang w:val="nl-NL"/>
        </w:rPr>
        <w:t>De registers Salicet 8' en Viola di Gamba 8' zijn voorzien van expressions. Een deel van het open pijpwerk is voorzien van twee stemkrullen: Prestant 8' (fis-dis</w:t>
      </w:r>
      <w:r>
        <w:rPr>
          <w:vertAlign w:val="superscript"/>
          <w:lang w:val="nl-NL"/>
        </w:rPr>
        <w:t>1</w:t>
      </w:r>
      <w:r>
        <w:rPr>
          <w:lang w:val="nl-NL"/>
        </w:rPr>
        <w:t>), Octaaf 4' (C-dis), Quint 3' (C-Gis), Octaaf 2' (C-Dis), Mixtuur (twee-voets koor C-Dis) en C-H van de Flûte harmonique 4'. Pijpwerk met één stemkrul is te vinden in de registers Prestant 8' (e</w:t>
      </w:r>
      <w:r>
        <w:rPr>
          <w:vertAlign w:val="superscript"/>
          <w:lang w:val="nl-NL"/>
        </w:rPr>
        <w:t>1</w:t>
      </w:r>
      <w:r>
        <w:rPr>
          <w:lang w:val="nl-NL"/>
        </w:rPr>
        <w:t>-dis</w:t>
      </w:r>
      <w:r>
        <w:rPr>
          <w:vertAlign w:val="superscript"/>
          <w:lang w:val="nl-NL"/>
        </w:rPr>
        <w:t>2</w:t>
      </w:r>
      <w:r>
        <w:rPr>
          <w:lang w:val="nl-NL"/>
        </w:rPr>
        <w:t>), Octaaf 4' (e-dis</w:t>
      </w:r>
      <w:r>
        <w:rPr>
          <w:vertAlign w:val="superscript"/>
          <w:lang w:val="nl-NL"/>
        </w:rPr>
        <w:t>1</w:t>
      </w:r>
      <w:r>
        <w:rPr>
          <w:lang w:val="nl-NL"/>
        </w:rPr>
        <w:t>), Quint 3' (A-gis), Octaaf 2' (E-dis), Mixtuur (1 1/3-voets koor C-H; twee-voets koor E-dis; 2 2/3-voets koor c-h; vier-voets koor c</w:t>
      </w:r>
      <w:r>
        <w:rPr>
          <w:vertAlign w:val="superscript"/>
          <w:lang w:val="nl-NL"/>
        </w:rPr>
        <w:t>1</w:t>
      </w:r>
      <w:r>
        <w:rPr>
          <w:lang w:val="nl-NL"/>
        </w:rPr>
        <w:t>-dis</w:t>
      </w:r>
      <w:r>
        <w:rPr>
          <w:vertAlign w:val="superscript"/>
          <w:lang w:val="nl-NL"/>
        </w:rPr>
        <w:t>1</w:t>
      </w:r>
      <w:r>
        <w:rPr>
          <w:lang w:val="nl-NL"/>
        </w:rPr>
        <w:t>), Cornet (vier-voets koor c</w:t>
      </w:r>
      <w:r>
        <w:rPr>
          <w:vertAlign w:val="superscript"/>
          <w:lang w:val="nl-NL"/>
        </w:rPr>
        <w:t>1</w:t>
      </w:r>
      <w:r>
        <w:rPr>
          <w:lang w:val="nl-NL"/>
        </w:rPr>
        <w:t>-g</w:t>
      </w:r>
      <w:r>
        <w:rPr>
          <w:vertAlign w:val="superscript"/>
          <w:lang w:val="nl-NL"/>
        </w:rPr>
        <w:t>1</w:t>
      </w:r>
      <w:r>
        <w:rPr>
          <w:lang w:val="nl-NL"/>
        </w:rPr>
        <w:t>; 2 2/3-voets koor c</w:t>
      </w:r>
      <w:r>
        <w:rPr>
          <w:vertAlign w:val="superscript"/>
          <w:lang w:val="nl-NL"/>
        </w:rPr>
        <w:t>1</w:t>
      </w:r>
      <w:r>
        <w:rPr>
          <w:lang w:val="nl-NL"/>
        </w:rPr>
        <w:t>-cis</w:t>
      </w:r>
      <w:r>
        <w:rPr>
          <w:vertAlign w:val="superscript"/>
          <w:lang w:val="nl-NL"/>
        </w:rPr>
        <w:t>1</w:t>
      </w:r>
      <w:r>
        <w:rPr>
          <w:lang w:val="nl-NL"/>
        </w:rPr>
        <w:t>), Flûte harmonique 4' (c-h</w:t>
      </w:r>
      <w:r>
        <w:rPr>
          <w:vertAlign w:val="superscript"/>
          <w:lang w:val="nl-NL"/>
        </w:rPr>
        <w:t>1</w:t>
      </w:r>
      <w:r>
        <w:rPr>
          <w:lang w:val="nl-NL"/>
        </w:rPr>
        <w:t>) en Speelfluit 2' (C-F). De overige open labiaalpijpen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2006-04-25T12:33:00Z</dcterms:created>
  <dc:creator>WS1</dc:creator>
  <dc:description/>
  <dc:language>en-US</dc:language>
  <cp:lastModifiedBy>WS1</cp:lastModifiedBy>
  <dcterms:modified xsi:type="dcterms:W3CDTF">2006-04-25T14:23:00Z</dcterms:modified>
  <cp:revision>3</cp:revision>
  <dc:subject/>
  <dc:title>Den Burg / 1879</dc:title>
</cp:coreProperties>
</file>